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3DB153" w14:textId="1D2C2392" w:rsidR="006130F8" w:rsidRPr="00B17B7A" w:rsidRDefault="007A7D69" w:rsidP="00B17B7A">
      <w:pPr>
        <w:jc w:val="center"/>
        <w:rPr>
          <w:rFonts w:ascii="Times New Roman" w:hAnsi="Times New Roman" w:cs="Times New Roman"/>
          <w:sz w:val="24"/>
          <w:szCs w:val="24"/>
        </w:rPr>
      </w:pPr>
      <w:bookmarkStart w:id="0" w:name="_Hlk150069733"/>
      <w:bookmarkEnd w:id="0"/>
      <w:r>
        <w:rPr>
          <w:rFonts w:ascii="Times New Roman" w:hAnsi="Times New Roman" w:cs="Times New Roman"/>
          <w:sz w:val="24"/>
          <w:szCs w:val="24"/>
        </w:rPr>
        <w:t xml:space="preserve">CONDUCTING </w:t>
      </w:r>
      <w:r w:rsidR="00B457D2" w:rsidRPr="00B17B7A">
        <w:rPr>
          <w:rFonts w:ascii="Times New Roman" w:hAnsi="Times New Roman" w:cs="Times New Roman"/>
          <w:sz w:val="24"/>
          <w:szCs w:val="24"/>
        </w:rPr>
        <w:t>FOG RESEARCH AND ABATEMENT</w:t>
      </w:r>
      <w:r w:rsidR="00F3793F">
        <w:rPr>
          <w:rFonts w:ascii="Times New Roman" w:hAnsi="Times New Roman" w:cs="Times New Roman"/>
          <w:sz w:val="24"/>
          <w:szCs w:val="24"/>
        </w:rPr>
        <w:t xml:space="preserve"> USING UNMANNED AIRCRAFT SYSTEMS (UAS)</w:t>
      </w:r>
    </w:p>
    <w:p w14:paraId="05E23486" w14:textId="5205B179" w:rsidR="00B17B7A" w:rsidRPr="00B17B7A" w:rsidRDefault="00B17B7A" w:rsidP="00B17B7A">
      <w:pPr>
        <w:jc w:val="center"/>
        <w:rPr>
          <w:rFonts w:ascii="Times New Roman" w:hAnsi="Times New Roman" w:cs="Times New Roman"/>
          <w:sz w:val="24"/>
          <w:szCs w:val="24"/>
        </w:rPr>
      </w:pPr>
    </w:p>
    <w:p w14:paraId="3F766305" w14:textId="1DC9DC39" w:rsidR="00B17B7A" w:rsidRPr="00B17B7A" w:rsidRDefault="00B17B7A" w:rsidP="00B17B7A">
      <w:pPr>
        <w:jc w:val="center"/>
        <w:rPr>
          <w:rFonts w:ascii="Times New Roman" w:hAnsi="Times New Roman" w:cs="Times New Roman"/>
          <w:sz w:val="24"/>
          <w:szCs w:val="24"/>
        </w:rPr>
      </w:pPr>
      <w:r w:rsidRPr="00B17B7A">
        <w:rPr>
          <w:rFonts w:ascii="Times New Roman" w:hAnsi="Times New Roman" w:cs="Times New Roman"/>
          <w:sz w:val="24"/>
          <w:szCs w:val="24"/>
        </w:rPr>
        <w:t>by</w:t>
      </w:r>
    </w:p>
    <w:p w14:paraId="64122DDA" w14:textId="2875F869" w:rsidR="00B17B7A" w:rsidRPr="00B17B7A" w:rsidRDefault="00B17B7A" w:rsidP="00B17B7A">
      <w:pPr>
        <w:jc w:val="center"/>
        <w:rPr>
          <w:rFonts w:ascii="Times New Roman" w:hAnsi="Times New Roman" w:cs="Times New Roman"/>
          <w:sz w:val="24"/>
          <w:szCs w:val="24"/>
        </w:rPr>
      </w:pPr>
    </w:p>
    <w:p w14:paraId="50C7A36B" w14:textId="060ED135" w:rsidR="00B17B7A" w:rsidRPr="00B17B7A" w:rsidRDefault="00B17B7A" w:rsidP="00B17B7A">
      <w:pPr>
        <w:spacing w:after="0"/>
        <w:jc w:val="center"/>
        <w:rPr>
          <w:rFonts w:ascii="Times New Roman" w:hAnsi="Times New Roman" w:cs="Times New Roman"/>
          <w:sz w:val="24"/>
          <w:szCs w:val="24"/>
        </w:rPr>
      </w:pPr>
      <w:r w:rsidRPr="00B17B7A">
        <w:rPr>
          <w:rFonts w:ascii="Times New Roman" w:hAnsi="Times New Roman" w:cs="Times New Roman"/>
          <w:sz w:val="24"/>
          <w:szCs w:val="24"/>
        </w:rPr>
        <w:t>Michael Douglas Willette</w:t>
      </w:r>
    </w:p>
    <w:p w14:paraId="017CA0DF" w14:textId="1CFF6E1E" w:rsidR="00B17B7A" w:rsidRPr="00B17B7A" w:rsidRDefault="00B17B7A" w:rsidP="00B17B7A">
      <w:pPr>
        <w:spacing w:after="0"/>
        <w:jc w:val="center"/>
        <w:rPr>
          <w:rFonts w:ascii="Times New Roman" w:hAnsi="Times New Roman" w:cs="Times New Roman"/>
          <w:sz w:val="24"/>
          <w:szCs w:val="24"/>
        </w:rPr>
      </w:pPr>
      <w:r w:rsidRPr="00B17B7A">
        <w:rPr>
          <w:rFonts w:ascii="Times New Roman" w:hAnsi="Times New Roman" w:cs="Times New Roman"/>
          <w:sz w:val="24"/>
          <w:szCs w:val="24"/>
        </w:rPr>
        <w:t>Bachelor of Science, University of Northern Colorado, 2016</w:t>
      </w:r>
    </w:p>
    <w:p w14:paraId="0E303424" w14:textId="2108BA4C" w:rsidR="00B17B7A" w:rsidRDefault="00B17B7A" w:rsidP="00B17B7A">
      <w:pPr>
        <w:spacing w:after="0"/>
        <w:jc w:val="center"/>
        <w:rPr>
          <w:rFonts w:ascii="Times New Roman" w:hAnsi="Times New Roman" w:cs="Times New Roman"/>
          <w:sz w:val="24"/>
          <w:szCs w:val="24"/>
        </w:rPr>
      </w:pPr>
      <w:r w:rsidRPr="00B17B7A">
        <w:rPr>
          <w:rFonts w:ascii="Times New Roman" w:hAnsi="Times New Roman" w:cs="Times New Roman"/>
          <w:sz w:val="24"/>
          <w:szCs w:val="24"/>
        </w:rPr>
        <w:t>Bachelor of Science, Colorado State University, 2014</w:t>
      </w:r>
    </w:p>
    <w:p w14:paraId="66DFA928" w14:textId="2D696289" w:rsidR="00B17B7A" w:rsidRDefault="00B17B7A" w:rsidP="00B17B7A">
      <w:pPr>
        <w:spacing w:after="0"/>
        <w:jc w:val="center"/>
        <w:rPr>
          <w:rFonts w:ascii="Times New Roman" w:hAnsi="Times New Roman" w:cs="Times New Roman"/>
          <w:sz w:val="24"/>
          <w:szCs w:val="24"/>
        </w:rPr>
      </w:pPr>
    </w:p>
    <w:p w14:paraId="3EF5F70A" w14:textId="7D13093B" w:rsidR="00B17B7A" w:rsidRDefault="00B17B7A" w:rsidP="00B17B7A">
      <w:pPr>
        <w:spacing w:after="0"/>
        <w:jc w:val="center"/>
        <w:rPr>
          <w:rFonts w:ascii="Times New Roman" w:hAnsi="Times New Roman" w:cs="Times New Roman"/>
          <w:sz w:val="24"/>
          <w:szCs w:val="24"/>
        </w:rPr>
      </w:pPr>
    </w:p>
    <w:p w14:paraId="5E560B07" w14:textId="25F1E948" w:rsidR="00B17B7A" w:rsidRDefault="00B17B7A" w:rsidP="00B17B7A">
      <w:pPr>
        <w:spacing w:after="0"/>
        <w:jc w:val="center"/>
        <w:rPr>
          <w:rFonts w:ascii="Times New Roman" w:hAnsi="Times New Roman" w:cs="Times New Roman"/>
          <w:sz w:val="24"/>
          <w:szCs w:val="24"/>
        </w:rPr>
      </w:pPr>
    </w:p>
    <w:p w14:paraId="4C8F2B8C" w14:textId="40347A80" w:rsidR="00B17B7A" w:rsidRDefault="00B17B7A" w:rsidP="00B17B7A">
      <w:pPr>
        <w:spacing w:after="0"/>
        <w:jc w:val="center"/>
        <w:rPr>
          <w:rFonts w:ascii="Times New Roman" w:hAnsi="Times New Roman" w:cs="Times New Roman"/>
          <w:sz w:val="24"/>
          <w:szCs w:val="24"/>
        </w:rPr>
      </w:pPr>
      <w:r>
        <w:rPr>
          <w:rFonts w:ascii="Times New Roman" w:hAnsi="Times New Roman" w:cs="Times New Roman"/>
          <w:sz w:val="24"/>
          <w:szCs w:val="24"/>
        </w:rPr>
        <w:t>A Thesis</w:t>
      </w:r>
    </w:p>
    <w:p w14:paraId="384C64C1" w14:textId="65C21B4D" w:rsidR="00B17B7A" w:rsidRDefault="00B17B7A" w:rsidP="00B17B7A">
      <w:pPr>
        <w:spacing w:after="0"/>
        <w:jc w:val="center"/>
        <w:rPr>
          <w:rFonts w:ascii="Times New Roman" w:hAnsi="Times New Roman" w:cs="Times New Roman"/>
          <w:sz w:val="24"/>
          <w:szCs w:val="24"/>
        </w:rPr>
      </w:pPr>
    </w:p>
    <w:p w14:paraId="629E34FC" w14:textId="7BE8F0F4" w:rsidR="00B17B7A" w:rsidRDefault="00B17B7A" w:rsidP="00B17B7A">
      <w:pPr>
        <w:spacing w:after="0"/>
        <w:jc w:val="center"/>
        <w:rPr>
          <w:rFonts w:ascii="Times New Roman" w:hAnsi="Times New Roman" w:cs="Times New Roman"/>
          <w:sz w:val="24"/>
          <w:szCs w:val="24"/>
        </w:rPr>
      </w:pPr>
      <w:r>
        <w:rPr>
          <w:rFonts w:ascii="Times New Roman" w:hAnsi="Times New Roman" w:cs="Times New Roman"/>
          <w:sz w:val="24"/>
          <w:szCs w:val="24"/>
        </w:rPr>
        <w:t>Submitted to the Graduate Faculty</w:t>
      </w:r>
    </w:p>
    <w:p w14:paraId="13EAB05F" w14:textId="2D7CF4F8" w:rsidR="00B17B7A" w:rsidRDefault="00B17B7A" w:rsidP="00B17B7A">
      <w:pPr>
        <w:spacing w:after="0"/>
        <w:jc w:val="center"/>
        <w:rPr>
          <w:rFonts w:ascii="Times New Roman" w:hAnsi="Times New Roman" w:cs="Times New Roman"/>
          <w:sz w:val="24"/>
          <w:szCs w:val="24"/>
        </w:rPr>
      </w:pPr>
    </w:p>
    <w:p w14:paraId="2DCE9A5F" w14:textId="223E0A3A" w:rsidR="00B17B7A" w:rsidRDefault="00B17B7A" w:rsidP="00B17B7A">
      <w:pPr>
        <w:spacing w:after="0"/>
        <w:jc w:val="center"/>
        <w:rPr>
          <w:rFonts w:ascii="Times New Roman" w:hAnsi="Times New Roman" w:cs="Times New Roman"/>
          <w:sz w:val="24"/>
          <w:szCs w:val="24"/>
        </w:rPr>
      </w:pPr>
      <w:r>
        <w:rPr>
          <w:rFonts w:ascii="Times New Roman" w:hAnsi="Times New Roman" w:cs="Times New Roman"/>
          <w:sz w:val="24"/>
          <w:szCs w:val="24"/>
        </w:rPr>
        <w:t>of the</w:t>
      </w:r>
    </w:p>
    <w:p w14:paraId="411B1F33" w14:textId="4888AFFC" w:rsidR="00B17B7A" w:rsidRDefault="00B17B7A" w:rsidP="00B17B7A">
      <w:pPr>
        <w:spacing w:after="0"/>
        <w:jc w:val="center"/>
        <w:rPr>
          <w:rFonts w:ascii="Times New Roman" w:hAnsi="Times New Roman" w:cs="Times New Roman"/>
          <w:sz w:val="24"/>
          <w:szCs w:val="24"/>
        </w:rPr>
      </w:pPr>
    </w:p>
    <w:p w14:paraId="3ED422D3" w14:textId="137E86F6" w:rsidR="00B17B7A" w:rsidRDefault="00B17B7A" w:rsidP="00B17B7A">
      <w:pPr>
        <w:spacing w:after="0"/>
        <w:jc w:val="center"/>
        <w:rPr>
          <w:rFonts w:ascii="Times New Roman" w:hAnsi="Times New Roman" w:cs="Times New Roman"/>
          <w:sz w:val="24"/>
          <w:szCs w:val="24"/>
        </w:rPr>
      </w:pPr>
      <w:r>
        <w:rPr>
          <w:rFonts w:ascii="Times New Roman" w:hAnsi="Times New Roman" w:cs="Times New Roman"/>
          <w:sz w:val="24"/>
          <w:szCs w:val="24"/>
        </w:rPr>
        <w:t>University of North Dakota</w:t>
      </w:r>
    </w:p>
    <w:p w14:paraId="780C5698" w14:textId="0C62ED26" w:rsidR="00B17B7A" w:rsidRDefault="00B17B7A" w:rsidP="00B17B7A">
      <w:pPr>
        <w:spacing w:after="0"/>
        <w:jc w:val="center"/>
        <w:rPr>
          <w:rFonts w:ascii="Times New Roman" w:hAnsi="Times New Roman" w:cs="Times New Roman"/>
          <w:sz w:val="24"/>
          <w:szCs w:val="24"/>
        </w:rPr>
      </w:pPr>
    </w:p>
    <w:p w14:paraId="4A307BE2" w14:textId="5E4330C0" w:rsidR="00B17B7A" w:rsidRDefault="00B17B7A" w:rsidP="00B17B7A">
      <w:pPr>
        <w:spacing w:after="0"/>
        <w:jc w:val="center"/>
        <w:rPr>
          <w:rFonts w:ascii="Times New Roman" w:hAnsi="Times New Roman" w:cs="Times New Roman"/>
          <w:sz w:val="24"/>
          <w:szCs w:val="24"/>
        </w:rPr>
      </w:pPr>
      <w:r>
        <w:rPr>
          <w:rFonts w:ascii="Times New Roman" w:hAnsi="Times New Roman" w:cs="Times New Roman"/>
          <w:sz w:val="24"/>
          <w:szCs w:val="24"/>
        </w:rPr>
        <w:t xml:space="preserve">in partial fulfillment of the requirements </w:t>
      </w:r>
    </w:p>
    <w:p w14:paraId="52B22C83" w14:textId="1862739C" w:rsidR="00B17B7A" w:rsidRDefault="00B17B7A" w:rsidP="00B17B7A">
      <w:pPr>
        <w:spacing w:after="0"/>
        <w:jc w:val="center"/>
        <w:rPr>
          <w:rFonts w:ascii="Times New Roman" w:hAnsi="Times New Roman" w:cs="Times New Roman"/>
          <w:sz w:val="24"/>
          <w:szCs w:val="24"/>
        </w:rPr>
      </w:pPr>
    </w:p>
    <w:p w14:paraId="13F9EF3B" w14:textId="765B6FD0" w:rsidR="00B17B7A" w:rsidRDefault="00B17B7A" w:rsidP="00B17B7A">
      <w:pPr>
        <w:spacing w:after="0"/>
        <w:jc w:val="center"/>
        <w:rPr>
          <w:rFonts w:ascii="Times New Roman" w:hAnsi="Times New Roman" w:cs="Times New Roman"/>
          <w:sz w:val="24"/>
          <w:szCs w:val="24"/>
        </w:rPr>
      </w:pPr>
    </w:p>
    <w:p w14:paraId="2CDD8669" w14:textId="497A29C2" w:rsidR="00B17B7A" w:rsidRDefault="00B17B7A" w:rsidP="00B17B7A">
      <w:pPr>
        <w:spacing w:after="0"/>
        <w:jc w:val="center"/>
        <w:rPr>
          <w:rFonts w:ascii="Times New Roman" w:hAnsi="Times New Roman" w:cs="Times New Roman"/>
          <w:sz w:val="24"/>
          <w:szCs w:val="24"/>
        </w:rPr>
      </w:pPr>
    </w:p>
    <w:p w14:paraId="6EA0D97B" w14:textId="2BC43401" w:rsidR="00B17B7A" w:rsidRDefault="00B17B7A" w:rsidP="00B17B7A">
      <w:pPr>
        <w:spacing w:after="0"/>
        <w:jc w:val="center"/>
        <w:rPr>
          <w:rFonts w:ascii="Times New Roman" w:hAnsi="Times New Roman" w:cs="Times New Roman"/>
          <w:sz w:val="24"/>
          <w:szCs w:val="24"/>
        </w:rPr>
      </w:pPr>
    </w:p>
    <w:p w14:paraId="210BC8A2" w14:textId="2B5AC99D" w:rsidR="00B17B7A" w:rsidRDefault="00B17B7A" w:rsidP="00B17B7A">
      <w:pPr>
        <w:spacing w:after="0"/>
        <w:jc w:val="center"/>
        <w:rPr>
          <w:rFonts w:ascii="Times New Roman" w:hAnsi="Times New Roman" w:cs="Times New Roman"/>
          <w:sz w:val="24"/>
          <w:szCs w:val="24"/>
        </w:rPr>
      </w:pPr>
      <w:r>
        <w:rPr>
          <w:rFonts w:ascii="Times New Roman" w:hAnsi="Times New Roman" w:cs="Times New Roman"/>
          <w:sz w:val="24"/>
          <w:szCs w:val="24"/>
        </w:rPr>
        <w:t>for the degree of</w:t>
      </w:r>
    </w:p>
    <w:p w14:paraId="54F55BE8" w14:textId="036F6D8D" w:rsidR="00B17B7A" w:rsidRDefault="00B17B7A" w:rsidP="00B17B7A">
      <w:pPr>
        <w:spacing w:after="0"/>
        <w:jc w:val="center"/>
        <w:rPr>
          <w:rFonts w:ascii="Times New Roman" w:hAnsi="Times New Roman" w:cs="Times New Roman"/>
          <w:sz w:val="24"/>
          <w:szCs w:val="24"/>
        </w:rPr>
      </w:pPr>
      <w:r>
        <w:rPr>
          <w:rFonts w:ascii="Times New Roman" w:hAnsi="Times New Roman" w:cs="Times New Roman"/>
          <w:sz w:val="24"/>
          <w:szCs w:val="24"/>
        </w:rPr>
        <w:t xml:space="preserve">Master of Science </w:t>
      </w:r>
    </w:p>
    <w:p w14:paraId="64CA751D" w14:textId="45FBD0E5" w:rsidR="00B17B7A" w:rsidRDefault="00B17B7A" w:rsidP="00B17B7A">
      <w:pPr>
        <w:spacing w:after="0"/>
        <w:jc w:val="center"/>
        <w:rPr>
          <w:rFonts w:ascii="Times New Roman" w:hAnsi="Times New Roman" w:cs="Times New Roman"/>
          <w:sz w:val="24"/>
          <w:szCs w:val="24"/>
        </w:rPr>
      </w:pPr>
    </w:p>
    <w:p w14:paraId="6889C897" w14:textId="08E13C2C" w:rsidR="00B17B7A" w:rsidRDefault="00B17B7A" w:rsidP="00B17B7A">
      <w:pPr>
        <w:spacing w:after="0"/>
        <w:jc w:val="center"/>
        <w:rPr>
          <w:rFonts w:ascii="Times New Roman" w:hAnsi="Times New Roman" w:cs="Times New Roman"/>
          <w:sz w:val="24"/>
          <w:szCs w:val="24"/>
        </w:rPr>
      </w:pPr>
    </w:p>
    <w:p w14:paraId="43CE2C5D" w14:textId="5788D775" w:rsidR="00B17B7A" w:rsidRDefault="00B17B7A" w:rsidP="00B17B7A">
      <w:pPr>
        <w:spacing w:after="0"/>
        <w:jc w:val="center"/>
        <w:rPr>
          <w:rFonts w:ascii="Times New Roman" w:hAnsi="Times New Roman" w:cs="Times New Roman"/>
          <w:sz w:val="24"/>
          <w:szCs w:val="24"/>
        </w:rPr>
      </w:pPr>
    </w:p>
    <w:p w14:paraId="37BE7E05" w14:textId="21F5497B" w:rsidR="00B17B7A" w:rsidRDefault="00B17B7A" w:rsidP="00B17B7A">
      <w:pPr>
        <w:spacing w:after="0"/>
        <w:jc w:val="center"/>
        <w:rPr>
          <w:rFonts w:ascii="Times New Roman" w:hAnsi="Times New Roman" w:cs="Times New Roman"/>
          <w:sz w:val="24"/>
          <w:szCs w:val="24"/>
        </w:rPr>
      </w:pPr>
    </w:p>
    <w:p w14:paraId="5A10A7FB" w14:textId="4C094025" w:rsidR="00B17B7A" w:rsidRDefault="00B17B7A" w:rsidP="00B17B7A">
      <w:pPr>
        <w:spacing w:after="0"/>
        <w:jc w:val="center"/>
        <w:rPr>
          <w:rFonts w:ascii="Times New Roman" w:hAnsi="Times New Roman" w:cs="Times New Roman"/>
          <w:sz w:val="24"/>
          <w:szCs w:val="24"/>
        </w:rPr>
      </w:pPr>
    </w:p>
    <w:p w14:paraId="19EE9DDD" w14:textId="23C24965" w:rsidR="00B17B7A" w:rsidRDefault="00B17B7A" w:rsidP="00B17B7A">
      <w:pPr>
        <w:spacing w:after="0"/>
        <w:jc w:val="center"/>
        <w:rPr>
          <w:rFonts w:ascii="Times New Roman" w:hAnsi="Times New Roman" w:cs="Times New Roman"/>
          <w:sz w:val="24"/>
          <w:szCs w:val="24"/>
        </w:rPr>
      </w:pPr>
      <w:r>
        <w:rPr>
          <w:rFonts w:ascii="Times New Roman" w:hAnsi="Times New Roman" w:cs="Times New Roman"/>
          <w:sz w:val="24"/>
          <w:szCs w:val="24"/>
        </w:rPr>
        <w:t>Grand Forks, North Dakota</w:t>
      </w:r>
    </w:p>
    <w:p w14:paraId="6F86620F" w14:textId="116CC666" w:rsidR="00B17B7A" w:rsidRDefault="00B17B7A" w:rsidP="00B17B7A">
      <w:pPr>
        <w:spacing w:after="0"/>
        <w:jc w:val="center"/>
        <w:rPr>
          <w:rFonts w:ascii="Times New Roman" w:hAnsi="Times New Roman" w:cs="Times New Roman"/>
          <w:sz w:val="24"/>
          <w:szCs w:val="24"/>
        </w:rPr>
      </w:pPr>
    </w:p>
    <w:p w14:paraId="3F532E09" w14:textId="7519DB2B" w:rsidR="00442412" w:rsidRDefault="00442412" w:rsidP="00B17B7A">
      <w:pPr>
        <w:spacing w:after="0"/>
        <w:jc w:val="center"/>
        <w:rPr>
          <w:rFonts w:ascii="Times New Roman" w:hAnsi="Times New Roman" w:cs="Times New Roman"/>
          <w:sz w:val="24"/>
          <w:szCs w:val="24"/>
        </w:rPr>
      </w:pPr>
    </w:p>
    <w:p w14:paraId="7BFA00E5" w14:textId="02DA4BBD" w:rsidR="00442412" w:rsidRDefault="004C00FB" w:rsidP="00B17B7A">
      <w:pPr>
        <w:spacing w:after="0"/>
        <w:jc w:val="center"/>
        <w:rPr>
          <w:rFonts w:ascii="Times New Roman" w:hAnsi="Times New Roman" w:cs="Times New Roman"/>
          <w:sz w:val="24"/>
          <w:szCs w:val="24"/>
        </w:rPr>
      </w:pPr>
      <w:r>
        <w:rPr>
          <w:rFonts w:ascii="Times New Roman" w:hAnsi="Times New Roman" w:cs="Times New Roman"/>
          <w:sz w:val="24"/>
          <w:szCs w:val="24"/>
        </w:rPr>
        <w:t>December</w:t>
      </w:r>
    </w:p>
    <w:p w14:paraId="6E22248C" w14:textId="46FE98F3" w:rsidR="004C00FB" w:rsidRDefault="004C00FB" w:rsidP="00B17B7A">
      <w:pPr>
        <w:spacing w:after="0"/>
        <w:jc w:val="center"/>
        <w:rPr>
          <w:rFonts w:ascii="Times New Roman" w:hAnsi="Times New Roman" w:cs="Times New Roman"/>
          <w:sz w:val="24"/>
          <w:szCs w:val="24"/>
        </w:rPr>
      </w:pPr>
      <w:r>
        <w:rPr>
          <w:rFonts w:ascii="Times New Roman" w:hAnsi="Times New Roman" w:cs="Times New Roman"/>
          <w:sz w:val="24"/>
          <w:szCs w:val="24"/>
        </w:rPr>
        <w:t>2023</w:t>
      </w:r>
    </w:p>
    <w:p w14:paraId="6A6E6381" w14:textId="27EC47CC" w:rsidR="00442412" w:rsidRDefault="00442412" w:rsidP="00B17B7A">
      <w:pPr>
        <w:spacing w:after="0"/>
        <w:jc w:val="center"/>
        <w:rPr>
          <w:rFonts w:ascii="Times New Roman" w:hAnsi="Times New Roman" w:cs="Times New Roman"/>
          <w:sz w:val="24"/>
          <w:szCs w:val="24"/>
        </w:rPr>
      </w:pPr>
    </w:p>
    <w:p w14:paraId="2E8B2138" w14:textId="2A863F75" w:rsidR="00442412" w:rsidRDefault="00442412" w:rsidP="00B17B7A">
      <w:pPr>
        <w:spacing w:after="0"/>
        <w:jc w:val="center"/>
        <w:rPr>
          <w:rFonts w:ascii="Times New Roman" w:hAnsi="Times New Roman" w:cs="Times New Roman"/>
          <w:sz w:val="24"/>
          <w:szCs w:val="24"/>
        </w:rPr>
      </w:pPr>
    </w:p>
    <w:p w14:paraId="7B3D245F" w14:textId="73A94B8B" w:rsidR="00442412" w:rsidRDefault="00442412" w:rsidP="00B17B7A">
      <w:pPr>
        <w:spacing w:after="0"/>
        <w:jc w:val="center"/>
        <w:rPr>
          <w:rFonts w:ascii="Times New Roman" w:hAnsi="Times New Roman" w:cs="Times New Roman"/>
          <w:sz w:val="24"/>
          <w:szCs w:val="24"/>
        </w:rPr>
      </w:pPr>
    </w:p>
    <w:p w14:paraId="40C3F73A" w14:textId="38F03CEB" w:rsidR="00442412" w:rsidRDefault="00442412" w:rsidP="00B17B7A">
      <w:pPr>
        <w:spacing w:after="0"/>
        <w:jc w:val="center"/>
        <w:rPr>
          <w:rFonts w:ascii="Times New Roman" w:hAnsi="Times New Roman" w:cs="Times New Roman"/>
          <w:sz w:val="24"/>
          <w:szCs w:val="24"/>
        </w:rPr>
      </w:pPr>
    </w:p>
    <w:p w14:paraId="735DDCD5" w14:textId="72EDD2EF" w:rsidR="00442412" w:rsidRDefault="00442412" w:rsidP="00B17B7A">
      <w:pPr>
        <w:spacing w:after="0"/>
        <w:jc w:val="center"/>
        <w:rPr>
          <w:rFonts w:ascii="Times New Roman" w:hAnsi="Times New Roman" w:cs="Times New Roman"/>
          <w:sz w:val="24"/>
          <w:szCs w:val="24"/>
        </w:rPr>
      </w:pPr>
    </w:p>
    <w:p w14:paraId="28C208E5" w14:textId="36DC0C96" w:rsidR="00442412" w:rsidRDefault="00442412" w:rsidP="00B17B7A">
      <w:pPr>
        <w:spacing w:after="0"/>
        <w:jc w:val="center"/>
        <w:rPr>
          <w:rFonts w:ascii="Times New Roman" w:hAnsi="Times New Roman" w:cs="Times New Roman"/>
          <w:sz w:val="24"/>
          <w:szCs w:val="24"/>
        </w:rPr>
      </w:pPr>
    </w:p>
    <w:p w14:paraId="32DBB6B4" w14:textId="31FCD38F" w:rsidR="00442412" w:rsidRDefault="00442412" w:rsidP="00B17B7A">
      <w:pPr>
        <w:spacing w:after="0"/>
        <w:jc w:val="center"/>
        <w:rPr>
          <w:rFonts w:ascii="Times New Roman" w:hAnsi="Times New Roman" w:cs="Times New Roman"/>
          <w:sz w:val="24"/>
          <w:szCs w:val="24"/>
        </w:rPr>
      </w:pPr>
    </w:p>
    <w:p w14:paraId="4B4CE951" w14:textId="609FB67E" w:rsidR="00442412" w:rsidRDefault="00442412" w:rsidP="00B17B7A">
      <w:pPr>
        <w:spacing w:after="0"/>
        <w:jc w:val="center"/>
        <w:rPr>
          <w:rFonts w:ascii="Times New Roman" w:hAnsi="Times New Roman" w:cs="Times New Roman"/>
          <w:sz w:val="24"/>
          <w:szCs w:val="24"/>
        </w:rPr>
      </w:pPr>
    </w:p>
    <w:p w14:paraId="6A28F974" w14:textId="40F6D6BE" w:rsidR="00442412" w:rsidRDefault="00442412" w:rsidP="00B17B7A">
      <w:pPr>
        <w:spacing w:after="0"/>
        <w:jc w:val="center"/>
        <w:rPr>
          <w:rFonts w:ascii="Times New Roman" w:hAnsi="Times New Roman" w:cs="Times New Roman"/>
          <w:sz w:val="24"/>
          <w:szCs w:val="24"/>
        </w:rPr>
      </w:pPr>
    </w:p>
    <w:p w14:paraId="58991DAD" w14:textId="051449D9" w:rsidR="00442412" w:rsidRDefault="00442412" w:rsidP="00B17B7A">
      <w:pPr>
        <w:spacing w:after="0"/>
        <w:jc w:val="center"/>
        <w:rPr>
          <w:rFonts w:ascii="Times New Roman" w:hAnsi="Times New Roman" w:cs="Times New Roman"/>
          <w:sz w:val="24"/>
          <w:szCs w:val="24"/>
        </w:rPr>
      </w:pPr>
    </w:p>
    <w:p w14:paraId="7661AEB2" w14:textId="1C77CA98" w:rsidR="00442412" w:rsidRDefault="00442412" w:rsidP="00B17B7A">
      <w:pPr>
        <w:spacing w:after="0"/>
        <w:jc w:val="center"/>
        <w:rPr>
          <w:rFonts w:ascii="Times New Roman" w:hAnsi="Times New Roman" w:cs="Times New Roman"/>
          <w:sz w:val="24"/>
          <w:szCs w:val="24"/>
        </w:rPr>
      </w:pPr>
    </w:p>
    <w:p w14:paraId="3AA3DA4C" w14:textId="3AFA6E7A" w:rsidR="00442412" w:rsidRDefault="00442412" w:rsidP="00B17B7A">
      <w:pPr>
        <w:spacing w:after="0"/>
        <w:jc w:val="center"/>
        <w:rPr>
          <w:rFonts w:ascii="Times New Roman" w:hAnsi="Times New Roman" w:cs="Times New Roman"/>
          <w:sz w:val="24"/>
          <w:szCs w:val="24"/>
        </w:rPr>
      </w:pPr>
    </w:p>
    <w:p w14:paraId="346D0222" w14:textId="54F79496" w:rsidR="00442412" w:rsidRDefault="00442412" w:rsidP="00B17B7A">
      <w:pPr>
        <w:spacing w:after="0"/>
        <w:jc w:val="center"/>
        <w:rPr>
          <w:rFonts w:ascii="Times New Roman" w:hAnsi="Times New Roman" w:cs="Times New Roman"/>
          <w:sz w:val="24"/>
          <w:szCs w:val="24"/>
        </w:rPr>
      </w:pPr>
    </w:p>
    <w:p w14:paraId="390C2E36" w14:textId="2355A0CA" w:rsidR="00442412" w:rsidRDefault="00442412" w:rsidP="00B17B7A">
      <w:pPr>
        <w:spacing w:after="0"/>
        <w:jc w:val="center"/>
        <w:rPr>
          <w:rFonts w:ascii="Times New Roman" w:hAnsi="Times New Roman" w:cs="Times New Roman"/>
          <w:sz w:val="24"/>
          <w:szCs w:val="24"/>
        </w:rPr>
      </w:pPr>
    </w:p>
    <w:p w14:paraId="270630B0" w14:textId="33869878" w:rsidR="00442412" w:rsidRDefault="00442412" w:rsidP="00B17B7A">
      <w:pPr>
        <w:spacing w:after="0"/>
        <w:jc w:val="center"/>
        <w:rPr>
          <w:rFonts w:ascii="Times New Roman" w:hAnsi="Times New Roman" w:cs="Times New Roman"/>
          <w:sz w:val="24"/>
          <w:szCs w:val="24"/>
        </w:rPr>
      </w:pPr>
    </w:p>
    <w:p w14:paraId="4D9406D7" w14:textId="42D73860" w:rsidR="00442412" w:rsidRDefault="00442412" w:rsidP="00B17B7A">
      <w:pPr>
        <w:spacing w:after="0"/>
        <w:jc w:val="center"/>
        <w:rPr>
          <w:rFonts w:ascii="Times New Roman" w:hAnsi="Times New Roman" w:cs="Times New Roman"/>
          <w:sz w:val="24"/>
          <w:szCs w:val="24"/>
        </w:rPr>
      </w:pPr>
    </w:p>
    <w:p w14:paraId="559AA5A6" w14:textId="28D1A4ED" w:rsidR="00442412" w:rsidRDefault="00442412" w:rsidP="00B17B7A">
      <w:pPr>
        <w:spacing w:after="0"/>
        <w:jc w:val="center"/>
        <w:rPr>
          <w:rFonts w:ascii="Times New Roman" w:hAnsi="Times New Roman" w:cs="Times New Roman"/>
          <w:sz w:val="24"/>
          <w:szCs w:val="24"/>
        </w:rPr>
      </w:pPr>
    </w:p>
    <w:p w14:paraId="0DB0E6DA" w14:textId="5694E900" w:rsidR="00442412" w:rsidRDefault="00442412" w:rsidP="00B17B7A">
      <w:pPr>
        <w:spacing w:after="0"/>
        <w:jc w:val="center"/>
        <w:rPr>
          <w:rFonts w:ascii="Times New Roman" w:hAnsi="Times New Roman" w:cs="Times New Roman"/>
          <w:sz w:val="24"/>
          <w:szCs w:val="24"/>
        </w:rPr>
      </w:pPr>
    </w:p>
    <w:p w14:paraId="29BB7A7F" w14:textId="18571748" w:rsidR="00442412" w:rsidRDefault="00442412" w:rsidP="00B17B7A">
      <w:pPr>
        <w:spacing w:after="0"/>
        <w:jc w:val="center"/>
        <w:rPr>
          <w:rFonts w:ascii="Times New Roman" w:hAnsi="Times New Roman" w:cs="Times New Roman"/>
          <w:sz w:val="24"/>
          <w:szCs w:val="24"/>
        </w:rPr>
      </w:pPr>
    </w:p>
    <w:p w14:paraId="6024E106" w14:textId="01D9820B" w:rsidR="00442412" w:rsidRDefault="00442412" w:rsidP="00B17B7A">
      <w:pPr>
        <w:spacing w:after="0"/>
        <w:jc w:val="center"/>
        <w:rPr>
          <w:rFonts w:ascii="Times New Roman" w:hAnsi="Times New Roman" w:cs="Times New Roman"/>
          <w:sz w:val="24"/>
          <w:szCs w:val="24"/>
        </w:rPr>
      </w:pPr>
    </w:p>
    <w:p w14:paraId="105E91D4" w14:textId="170D1D7B" w:rsidR="00442412" w:rsidRDefault="00442412" w:rsidP="00B17B7A">
      <w:pPr>
        <w:spacing w:after="0"/>
        <w:jc w:val="center"/>
        <w:rPr>
          <w:rFonts w:ascii="Times New Roman" w:hAnsi="Times New Roman" w:cs="Times New Roman"/>
          <w:sz w:val="24"/>
          <w:szCs w:val="24"/>
        </w:rPr>
      </w:pPr>
    </w:p>
    <w:p w14:paraId="6D30A949" w14:textId="7EDB38CC" w:rsidR="00442412" w:rsidRDefault="00442412" w:rsidP="00B17B7A">
      <w:pPr>
        <w:spacing w:after="0"/>
        <w:jc w:val="center"/>
        <w:rPr>
          <w:rFonts w:ascii="Times New Roman" w:hAnsi="Times New Roman" w:cs="Times New Roman"/>
          <w:sz w:val="24"/>
          <w:szCs w:val="24"/>
        </w:rPr>
      </w:pPr>
    </w:p>
    <w:p w14:paraId="3B1EDDE0" w14:textId="2A32A647" w:rsidR="00442412" w:rsidRDefault="00442412" w:rsidP="00B17B7A">
      <w:pPr>
        <w:spacing w:after="0"/>
        <w:jc w:val="center"/>
        <w:rPr>
          <w:rFonts w:ascii="Times New Roman" w:hAnsi="Times New Roman" w:cs="Times New Roman"/>
          <w:sz w:val="24"/>
          <w:szCs w:val="24"/>
        </w:rPr>
      </w:pPr>
    </w:p>
    <w:p w14:paraId="7421CBB4" w14:textId="4F90B765" w:rsidR="00442412" w:rsidRDefault="00442412" w:rsidP="00B17B7A">
      <w:pPr>
        <w:spacing w:after="0"/>
        <w:jc w:val="center"/>
        <w:rPr>
          <w:rFonts w:ascii="Times New Roman" w:hAnsi="Times New Roman" w:cs="Times New Roman"/>
          <w:sz w:val="24"/>
          <w:szCs w:val="24"/>
        </w:rPr>
      </w:pPr>
    </w:p>
    <w:p w14:paraId="7DD87308" w14:textId="73C1F5D6" w:rsidR="00442412" w:rsidRDefault="00442412" w:rsidP="00B17B7A">
      <w:pPr>
        <w:spacing w:after="0"/>
        <w:jc w:val="center"/>
        <w:rPr>
          <w:rFonts w:ascii="Times New Roman" w:hAnsi="Times New Roman" w:cs="Times New Roman"/>
          <w:sz w:val="24"/>
          <w:szCs w:val="24"/>
        </w:rPr>
      </w:pPr>
    </w:p>
    <w:p w14:paraId="7300FD5D" w14:textId="0804C4E9" w:rsidR="00442412" w:rsidRDefault="00442412" w:rsidP="00B17B7A">
      <w:pPr>
        <w:spacing w:after="0"/>
        <w:jc w:val="center"/>
        <w:rPr>
          <w:rFonts w:ascii="Times New Roman" w:hAnsi="Times New Roman" w:cs="Times New Roman"/>
          <w:sz w:val="24"/>
          <w:szCs w:val="24"/>
        </w:rPr>
      </w:pPr>
    </w:p>
    <w:p w14:paraId="3A02D651" w14:textId="19E4B9B2" w:rsidR="00442412" w:rsidRDefault="00442412" w:rsidP="00B17B7A">
      <w:pPr>
        <w:spacing w:after="0"/>
        <w:jc w:val="center"/>
        <w:rPr>
          <w:rFonts w:ascii="Times New Roman" w:hAnsi="Times New Roman" w:cs="Times New Roman"/>
          <w:sz w:val="24"/>
          <w:szCs w:val="24"/>
        </w:rPr>
      </w:pPr>
    </w:p>
    <w:p w14:paraId="76B49416" w14:textId="08A21990" w:rsidR="00442412" w:rsidRDefault="00442412" w:rsidP="00B17B7A">
      <w:pPr>
        <w:spacing w:after="0"/>
        <w:jc w:val="center"/>
        <w:rPr>
          <w:rFonts w:ascii="Times New Roman" w:hAnsi="Times New Roman" w:cs="Times New Roman"/>
          <w:sz w:val="24"/>
          <w:szCs w:val="24"/>
        </w:rPr>
      </w:pPr>
    </w:p>
    <w:p w14:paraId="4DBB6FAB" w14:textId="2AB7E277" w:rsidR="00442412" w:rsidRDefault="00442412" w:rsidP="00B17B7A">
      <w:pPr>
        <w:spacing w:after="0"/>
        <w:jc w:val="center"/>
        <w:rPr>
          <w:rFonts w:ascii="Times New Roman" w:hAnsi="Times New Roman" w:cs="Times New Roman"/>
          <w:sz w:val="24"/>
          <w:szCs w:val="24"/>
        </w:rPr>
      </w:pPr>
    </w:p>
    <w:p w14:paraId="6B77C5EC" w14:textId="6CF0CEA4" w:rsidR="00442412" w:rsidRDefault="00442412" w:rsidP="00B17B7A">
      <w:pPr>
        <w:spacing w:after="0"/>
        <w:jc w:val="center"/>
        <w:rPr>
          <w:rFonts w:ascii="Times New Roman" w:hAnsi="Times New Roman" w:cs="Times New Roman"/>
          <w:sz w:val="24"/>
          <w:szCs w:val="24"/>
        </w:rPr>
      </w:pPr>
    </w:p>
    <w:p w14:paraId="6D345699" w14:textId="0BEB1084" w:rsidR="00442412" w:rsidRDefault="00442412" w:rsidP="00B17B7A">
      <w:pPr>
        <w:spacing w:after="0"/>
        <w:jc w:val="center"/>
        <w:rPr>
          <w:rFonts w:ascii="Times New Roman" w:hAnsi="Times New Roman" w:cs="Times New Roman"/>
          <w:sz w:val="24"/>
          <w:szCs w:val="24"/>
        </w:rPr>
      </w:pPr>
    </w:p>
    <w:p w14:paraId="53E53ED7" w14:textId="1CA8A25D" w:rsidR="00442412" w:rsidRDefault="00442412" w:rsidP="00B17B7A">
      <w:pPr>
        <w:spacing w:after="0"/>
        <w:jc w:val="center"/>
        <w:rPr>
          <w:rFonts w:ascii="Times New Roman" w:hAnsi="Times New Roman" w:cs="Times New Roman"/>
          <w:sz w:val="24"/>
          <w:szCs w:val="24"/>
        </w:rPr>
      </w:pPr>
    </w:p>
    <w:p w14:paraId="0C697E9D" w14:textId="462B02AF" w:rsidR="00442412" w:rsidRDefault="00442412" w:rsidP="00B17B7A">
      <w:pPr>
        <w:spacing w:after="0"/>
        <w:jc w:val="center"/>
        <w:rPr>
          <w:rFonts w:ascii="Times New Roman" w:hAnsi="Times New Roman" w:cs="Times New Roman"/>
          <w:sz w:val="24"/>
          <w:szCs w:val="24"/>
        </w:rPr>
      </w:pPr>
    </w:p>
    <w:p w14:paraId="7B12CF82" w14:textId="1BAFA990" w:rsidR="00442412" w:rsidRDefault="00442412" w:rsidP="00B17B7A">
      <w:pPr>
        <w:spacing w:after="0"/>
        <w:jc w:val="center"/>
        <w:rPr>
          <w:rFonts w:ascii="Times New Roman" w:hAnsi="Times New Roman" w:cs="Times New Roman"/>
          <w:sz w:val="24"/>
          <w:szCs w:val="24"/>
        </w:rPr>
      </w:pPr>
    </w:p>
    <w:p w14:paraId="3D08AC30" w14:textId="10C29418" w:rsidR="00442412" w:rsidRDefault="00442412" w:rsidP="00B17B7A">
      <w:pPr>
        <w:spacing w:after="0"/>
        <w:jc w:val="center"/>
        <w:rPr>
          <w:rFonts w:ascii="Times New Roman" w:hAnsi="Times New Roman" w:cs="Times New Roman"/>
          <w:sz w:val="24"/>
          <w:szCs w:val="24"/>
        </w:rPr>
      </w:pPr>
    </w:p>
    <w:p w14:paraId="13B80A5A" w14:textId="1671E9ED" w:rsidR="00442412" w:rsidRDefault="00442412" w:rsidP="00B17B7A">
      <w:pPr>
        <w:spacing w:after="0"/>
        <w:jc w:val="center"/>
        <w:rPr>
          <w:rFonts w:ascii="Times New Roman" w:hAnsi="Times New Roman" w:cs="Times New Roman"/>
          <w:sz w:val="24"/>
          <w:szCs w:val="24"/>
        </w:rPr>
      </w:pPr>
    </w:p>
    <w:p w14:paraId="2B27EAA9" w14:textId="35622CC3" w:rsidR="00442412" w:rsidRDefault="00442412" w:rsidP="00B17B7A">
      <w:pPr>
        <w:spacing w:after="0"/>
        <w:jc w:val="center"/>
        <w:rPr>
          <w:rFonts w:ascii="Times New Roman" w:hAnsi="Times New Roman" w:cs="Times New Roman"/>
          <w:sz w:val="24"/>
          <w:szCs w:val="24"/>
        </w:rPr>
      </w:pPr>
    </w:p>
    <w:p w14:paraId="125C06BD" w14:textId="6F7B4897" w:rsidR="00442412" w:rsidRDefault="00442412" w:rsidP="00B17B7A">
      <w:pPr>
        <w:spacing w:after="0"/>
        <w:jc w:val="center"/>
        <w:rPr>
          <w:rFonts w:ascii="Times New Roman" w:hAnsi="Times New Roman" w:cs="Times New Roman"/>
          <w:sz w:val="24"/>
          <w:szCs w:val="24"/>
        </w:rPr>
      </w:pPr>
    </w:p>
    <w:p w14:paraId="679CB114" w14:textId="01423F96" w:rsidR="00442412" w:rsidRDefault="00442412" w:rsidP="00B17B7A">
      <w:pPr>
        <w:spacing w:after="0"/>
        <w:jc w:val="center"/>
        <w:rPr>
          <w:rFonts w:ascii="Times New Roman" w:hAnsi="Times New Roman" w:cs="Times New Roman"/>
          <w:sz w:val="24"/>
          <w:szCs w:val="24"/>
        </w:rPr>
      </w:pPr>
    </w:p>
    <w:p w14:paraId="658DFF82" w14:textId="139009E7" w:rsidR="00442412" w:rsidRDefault="00442412" w:rsidP="00B17B7A">
      <w:pPr>
        <w:spacing w:after="0"/>
        <w:jc w:val="center"/>
        <w:rPr>
          <w:rFonts w:ascii="Times New Roman" w:hAnsi="Times New Roman" w:cs="Times New Roman"/>
          <w:sz w:val="24"/>
          <w:szCs w:val="24"/>
        </w:rPr>
      </w:pPr>
    </w:p>
    <w:p w14:paraId="17D8A289" w14:textId="6CE01D69" w:rsidR="00442412" w:rsidRDefault="00442412" w:rsidP="00B17B7A">
      <w:pPr>
        <w:spacing w:after="0"/>
        <w:jc w:val="center"/>
        <w:rPr>
          <w:rFonts w:ascii="Times New Roman" w:hAnsi="Times New Roman" w:cs="Times New Roman"/>
          <w:sz w:val="24"/>
          <w:szCs w:val="24"/>
        </w:rPr>
      </w:pPr>
    </w:p>
    <w:p w14:paraId="42ED603F" w14:textId="27921DC4" w:rsidR="00442412" w:rsidRDefault="00442412" w:rsidP="00B17B7A">
      <w:pPr>
        <w:spacing w:after="0"/>
        <w:jc w:val="center"/>
        <w:rPr>
          <w:rFonts w:ascii="Times New Roman" w:hAnsi="Times New Roman" w:cs="Times New Roman"/>
          <w:sz w:val="24"/>
          <w:szCs w:val="24"/>
        </w:rPr>
      </w:pPr>
    </w:p>
    <w:p w14:paraId="5CBDB86E" w14:textId="77777777" w:rsidR="00B601DF" w:rsidRDefault="00B601DF" w:rsidP="00B17B7A">
      <w:pPr>
        <w:spacing w:after="0"/>
        <w:jc w:val="center"/>
        <w:rPr>
          <w:rFonts w:ascii="Times New Roman" w:hAnsi="Times New Roman" w:cs="Times New Roman"/>
          <w:sz w:val="24"/>
          <w:szCs w:val="24"/>
        </w:rPr>
      </w:pPr>
    </w:p>
    <w:p w14:paraId="2EA5910C" w14:textId="20BA572C" w:rsidR="00B601DF" w:rsidRDefault="00442412" w:rsidP="00B601DF">
      <w:pPr>
        <w:spacing w:after="0"/>
        <w:jc w:val="center"/>
        <w:rPr>
          <w:rFonts w:ascii="Times New Roman" w:hAnsi="Times New Roman" w:cs="Times New Roman"/>
          <w:sz w:val="24"/>
          <w:szCs w:val="24"/>
        </w:rPr>
      </w:pPr>
      <w:r>
        <w:rPr>
          <w:rFonts w:ascii="Times New Roman" w:hAnsi="Times New Roman" w:cs="Times New Roman"/>
          <w:sz w:val="24"/>
          <w:szCs w:val="24"/>
        </w:rPr>
        <w:t>Copyright 2023 Michael Douglas Willette</w:t>
      </w:r>
      <w:r w:rsidR="00B601DF">
        <w:rPr>
          <w:rFonts w:ascii="Times New Roman" w:hAnsi="Times New Roman" w:cs="Times New Roman"/>
          <w:sz w:val="24"/>
          <w:szCs w:val="24"/>
        </w:rPr>
        <w:br w:type="page"/>
      </w:r>
    </w:p>
    <w:p w14:paraId="79BF608D" w14:textId="3BAED9FA" w:rsidR="00B23579" w:rsidRDefault="00B23579" w:rsidP="00B17B7A">
      <w:pPr>
        <w:spacing w:after="0"/>
        <w:jc w:val="center"/>
        <w:rPr>
          <w:rFonts w:ascii="Times New Roman" w:hAnsi="Times New Roman" w:cs="Times New Roman"/>
          <w:sz w:val="24"/>
          <w:szCs w:val="24"/>
        </w:rPr>
      </w:pPr>
      <w:r w:rsidRPr="00B23579">
        <w:rPr>
          <w:rFonts w:ascii="Times New Roman" w:hAnsi="Times New Roman" w:cs="Times New Roman"/>
          <w:sz w:val="24"/>
          <w:szCs w:val="24"/>
          <w:highlight w:val="yellow"/>
        </w:rPr>
        <w:lastRenderedPageBreak/>
        <w:t>APPROVAL PAGE</w:t>
      </w:r>
    </w:p>
    <w:p w14:paraId="3DED0EE2" w14:textId="4A60BD62" w:rsidR="00B23579" w:rsidRDefault="00B23579" w:rsidP="00B17B7A">
      <w:pPr>
        <w:spacing w:after="0"/>
        <w:jc w:val="center"/>
        <w:rPr>
          <w:rFonts w:ascii="Times New Roman" w:hAnsi="Times New Roman" w:cs="Times New Roman"/>
          <w:sz w:val="24"/>
          <w:szCs w:val="24"/>
        </w:rPr>
      </w:pPr>
    </w:p>
    <w:p w14:paraId="1BB74C80" w14:textId="61FE7AE7" w:rsidR="00B23579" w:rsidRDefault="00B23579" w:rsidP="00B17B7A">
      <w:pPr>
        <w:spacing w:after="0"/>
        <w:jc w:val="center"/>
        <w:rPr>
          <w:rFonts w:ascii="Times New Roman" w:hAnsi="Times New Roman" w:cs="Times New Roman"/>
          <w:sz w:val="24"/>
          <w:szCs w:val="24"/>
        </w:rPr>
      </w:pPr>
    </w:p>
    <w:p w14:paraId="7ABDD6CB" w14:textId="77777777" w:rsidR="00B23579" w:rsidRDefault="00B23579" w:rsidP="00B17B7A">
      <w:pPr>
        <w:spacing w:after="0"/>
        <w:jc w:val="center"/>
        <w:rPr>
          <w:rFonts w:ascii="Times New Roman" w:hAnsi="Times New Roman" w:cs="Times New Roman"/>
          <w:sz w:val="24"/>
          <w:szCs w:val="24"/>
        </w:rPr>
      </w:pPr>
    </w:p>
    <w:p w14:paraId="65C959D8" w14:textId="43F8D276" w:rsidR="00B23579" w:rsidRDefault="00B23579" w:rsidP="00B17B7A">
      <w:pPr>
        <w:spacing w:after="0"/>
        <w:jc w:val="center"/>
        <w:rPr>
          <w:rFonts w:ascii="Times New Roman" w:hAnsi="Times New Roman" w:cs="Times New Roman"/>
          <w:sz w:val="24"/>
          <w:szCs w:val="24"/>
        </w:rPr>
      </w:pPr>
      <w:r>
        <w:rPr>
          <w:rFonts w:ascii="Times New Roman" w:hAnsi="Times New Roman" w:cs="Times New Roman"/>
          <w:sz w:val="24"/>
          <w:szCs w:val="24"/>
        </w:rPr>
        <w:t>to be completed after thesis defense</w:t>
      </w:r>
    </w:p>
    <w:p w14:paraId="619FE5E8" w14:textId="5FE612A5" w:rsidR="00B23579" w:rsidRDefault="00B23579" w:rsidP="00B17B7A">
      <w:pPr>
        <w:spacing w:after="0"/>
        <w:jc w:val="center"/>
        <w:rPr>
          <w:rFonts w:ascii="Times New Roman" w:hAnsi="Times New Roman" w:cs="Times New Roman"/>
          <w:sz w:val="24"/>
          <w:szCs w:val="24"/>
        </w:rPr>
      </w:pPr>
    </w:p>
    <w:p w14:paraId="1866292C" w14:textId="22463FAC" w:rsidR="00B23579" w:rsidRDefault="00B23579" w:rsidP="00B17B7A">
      <w:pPr>
        <w:spacing w:after="0"/>
        <w:jc w:val="center"/>
        <w:rPr>
          <w:rFonts w:ascii="Times New Roman" w:hAnsi="Times New Roman" w:cs="Times New Roman"/>
          <w:sz w:val="24"/>
          <w:szCs w:val="24"/>
        </w:rPr>
      </w:pPr>
    </w:p>
    <w:p w14:paraId="7C057648" w14:textId="7897AF53" w:rsidR="00B23579" w:rsidRDefault="00B23579" w:rsidP="00B17B7A">
      <w:pPr>
        <w:spacing w:after="0"/>
        <w:jc w:val="center"/>
        <w:rPr>
          <w:rFonts w:ascii="Times New Roman" w:hAnsi="Times New Roman" w:cs="Times New Roman"/>
          <w:sz w:val="24"/>
          <w:szCs w:val="24"/>
        </w:rPr>
      </w:pPr>
    </w:p>
    <w:p w14:paraId="6E2DF710" w14:textId="77777777" w:rsidR="00B23579" w:rsidRDefault="00B23579" w:rsidP="00B17B7A">
      <w:pPr>
        <w:spacing w:after="0"/>
        <w:jc w:val="center"/>
        <w:rPr>
          <w:rFonts w:ascii="Times New Roman" w:hAnsi="Times New Roman" w:cs="Times New Roman"/>
          <w:sz w:val="24"/>
          <w:szCs w:val="24"/>
        </w:rPr>
      </w:pPr>
    </w:p>
    <w:p w14:paraId="3B3AB96A" w14:textId="77777777" w:rsidR="00B23579" w:rsidRDefault="00B23579" w:rsidP="00B23579">
      <w:pPr>
        <w:spacing w:after="0"/>
        <w:jc w:val="center"/>
        <w:rPr>
          <w:rFonts w:ascii="Times New Roman" w:hAnsi="Times New Roman" w:cs="Times New Roman"/>
          <w:sz w:val="24"/>
          <w:szCs w:val="24"/>
        </w:rPr>
      </w:pPr>
      <w:r>
        <w:rPr>
          <w:rFonts w:ascii="Times New Roman" w:hAnsi="Times New Roman" w:cs="Times New Roman"/>
          <w:sz w:val="24"/>
          <w:szCs w:val="24"/>
        </w:rPr>
        <w:t>Link to form:</w:t>
      </w:r>
    </w:p>
    <w:p w14:paraId="6EFF7677" w14:textId="09988533" w:rsidR="00B23579" w:rsidRPr="00B23579" w:rsidRDefault="00B23579" w:rsidP="00B23579">
      <w:pPr>
        <w:spacing w:after="0"/>
        <w:jc w:val="center"/>
        <w:rPr>
          <w:rFonts w:ascii="Times New Roman" w:hAnsi="Times New Roman" w:cs="Times New Roman"/>
          <w:sz w:val="24"/>
          <w:szCs w:val="24"/>
        </w:rPr>
      </w:pPr>
      <w:r w:rsidRPr="00B23579">
        <w:rPr>
          <w:rFonts w:ascii="Times New Roman" w:hAnsi="Times New Roman" w:cs="Times New Roman"/>
          <w:sz w:val="24"/>
          <w:szCs w:val="24"/>
          <w:shd w:val="clear" w:color="auto" w:fill="FAF9F8"/>
        </w:rPr>
        <w:t>https://und.edu/academics/graduate-school/current-students/forms.html#d34e163--3</w:t>
      </w:r>
    </w:p>
    <w:p w14:paraId="04EB0E0C" w14:textId="488689C5" w:rsidR="00B23579" w:rsidRDefault="00B23579" w:rsidP="00B17B7A">
      <w:pPr>
        <w:spacing w:after="0"/>
        <w:jc w:val="center"/>
        <w:rPr>
          <w:rFonts w:ascii="Times New Roman" w:hAnsi="Times New Roman" w:cs="Times New Roman"/>
          <w:sz w:val="24"/>
          <w:szCs w:val="24"/>
        </w:rPr>
      </w:pPr>
    </w:p>
    <w:p w14:paraId="6C60393C" w14:textId="42809780" w:rsidR="00B23579" w:rsidRDefault="00B23579" w:rsidP="00B17B7A">
      <w:pPr>
        <w:spacing w:after="0"/>
        <w:jc w:val="center"/>
        <w:rPr>
          <w:rFonts w:ascii="Times New Roman" w:hAnsi="Times New Roman" w:cs="Times New Roman"/>
          <w:sz w:val="24"/>
          <w:szCs w:val="24"/>
        </w:rPr>
      </w:pPr>
    </w:p>
    <w:p w14:paraId="5A40E822" w14:textId="07164A01" w:rsidR="00B23579" w:rsidRDefault="00B23579" w:rsidP="00B17B7A">
      <w:pPr>
        <w:spacing w:after="0"/>
        <w:jc w:val="center"/>
        <w:rPr>
          <w:rFonts w:ascii="Times New Roman" w:hAnsi="Times New Roman" w:cs="Times New Roman"/>
          <w:sz w:val="24"/>
          <w:szCs w:val="24"/>
        </w:rPr>
      </w:pPr>
    </w:p>
    <w:p w14:paraId="7D21C02E" w14:textId="12D6B148" w:rsidR="00B23579" w:rsidRDefault="00B23579" w:rsidP="00B17B7A">
      <w:pPr>
        <w:spacing w:after="0"/>
        <w:jc w:val="center"/>
        <w:rPr>
          <w:rFonts w:ascii="Times New Roman" w:hAnsi="Times New Roman" w:cs="Times New Roman"/>
          <w:sz w:val="24"/>
          <w:szCs w:val="24"/>
        </w:rPr>
      </w:pPr>
    </w:p>
    <w:p w14:paraId="515BC157" w14:textId="48150A8F" w:rsidR="00B23579" w:rsidRDefault="00B23579" w:rsidP="00B17B7A">
      <w:pPr>
        <w:spacing w:after="0"/>
        <w:jc w:val="center"/>
        <w:rPr>
          <w:rFonts w:ascii="Times New Roman" w:hAnsi="Times New Roman" w:cs="Times New Roman"/>
          <w:sz w:val="24"/>
          <w:szCs w:val="24"/>
        </w:rPr>
      </w:pPr>
    </w:p>
    <w:p w14:paraId="6A42F5A0" w14:textId="25D5E7A0" w:rsidR="00B23579" w:rsidRDefault="00B23579" w:rsidP="00B17B7A">
      <w:pPr>
        <w:spacing w:after="0"/>
        <w:jc w:val="center"/>
        <w:rPr>
          <w:rFonts w:ascii="Times New Roman" w:hAnsi="Times New Roman" w:cs="Times New Roman"/>
          <w:sz w:val="24"/>
          <w:szCs w:val="24"/>
        </w:rPr>
      </w:pPr>
    </w:p>
    <w:p w14:paraId="1A239934" w14:textId="62B91C95" w:rsidR="00B23579" w:rsidRDefault="00B23579" w:rsidP="00B17B7A">
      <w:pPr>
        <w:spacing w:after="0"/>
        <w:jc w:val="center"/>
        <w:rPr>
          <w:rFonts w:ascii="Times New Roman" w:hAnsi="Times New Roman" w:cs="Times New Roman"/>
          <w:sz w:val="24"/>
          <w:szCs w:val="24"/>
        </w:rPr>
      </w:pPr>
    </w:p>
    <w:p w14:paraId="728A5EE9" w14:textId="4168083B" w:rsidR="00B23579" w:rsidRDefault="00B23579" w:rsidP="00B17B7A">
      <w:pPr>
        <w:spacing w:after="0"/>
        <w:jc w:val="center"/>
        <w:rPr>
          <w:rFonts w:ascii="Times New Roman" w:hAnsi="Times New Roman" w:cs="Times New Roman"/>
          <w:sz w:val="24"/>
          <w:szCs w:val="24"/>
        </w:rPr>
      </w:pPr>
    </w:p>
    <w:p w14:paraId="4F109560" w14:textId="4A3F6AD4" w:rsidR="00B23579" w:rsidRDefault="00B23579" w:rsidP="00B17B7A">
      <w:pPr>
        <w:spacing w:after="0"/>
        <w:jc w:val="center"/>
        <w:rPr>
          <w:rFonts w:ascii="Times New Roman" w:hAnsi="Times New Roman" w:cs="Times New Roman"/>
          <w:sz w:val="24"/>
          <w:szCs w:val="24"/>
        </w:rPr>
      </w:pPr>
    </w:p>
    <w:p w14:paraId="7DF21084" w14:textId="4A709F6C" w:rsidR="00B23579" w:rsidRDefault="00B23579" w:rsidP="00B17B7A">
      <w:pPr>
        <w:spacing w:after="0"/>
        <w:jc w:val="center"/>
        <w:rPr>
          <w:rFonts w:ascii="Times New Roman" w:hAnsi="Times New Roman" w:cs="Times New Roman"/>
          <w:sz w:val="24"/>
          <w:szCs w:val="24"/>
        </w:rPr>
      </w:pPr>
    </w:p>
    <w:p w14:paraId="5DA0DBA8" w14:textId="7F17ABAC" w:rsidR="00B23579" w:rsidRDefault="00B23579" w:rsidP="00B17B7A">
      <w:pPr>
        <w:spacing w:after="0"/>
        <w:jc w:val="center"/>
        <w:rPr>
          <w:rFonts w:ascii="Times New Roman" w:hAnsi="Times New Roman" w:cs="Times New Roman"/>
          <w:sz w:val="24"/>
          <w:szCs w:val="24"/>
        </w:rPr>
      </w:pPr>
    </w:p>
    <w:p w14:paraId="4A21D80D" w14:textId="0F6A3A3A" w:rsidR="00B23579" w:rsidRDefault="00B23579" w:rsidP="00B17B7A">
      <w:pPr>
        <w:spacing w:after="0"/>
        <w:jc w:val="center"/>
        <w:rPr>
          <w:rFonts w:ascii="Times New Roman" w:hAnsi="Times New Roman" w:cs="Times New Roman"/>
          <w:sz w:val="24"/>
          <w:szCs w:val="24"/>
        </w:rPr>
      </w:pPr>
    </w:p>
    <w:p w14:paraId="79486BD4" w14:textId="6A5D9D06" w:rsidR="00B23579" w:rsidRDefault="00B23579" w:rsidP="00B17B7A">
      <w:pPr>
        <w:spacing w:after="0"/>
        <w:jc w:val="center"/>
        <w:rPr>
          <w:rFonts w:ascii="Times New Roman" w:hAnsi="Times New Roman" w:cs="Times New Roman"/>
          <w:sz w:val="24"/>
          <w:szCs w:val="24"/>
        </w:rPr>
      </w:pPr>
    </w:p>
    <w:p w14:paraId="245DD682" w14:textId="3EFAFF36" w:rsidR="00B23579" w:rsidRDefault="00B23579" w:rsidP="00B17B7A">
      <w:pPr>
        <w:spacing w:after="0"/>
        <w:jc w:val="center"/>
        <w:rPr>
          <w:rFonts w:ascii="Times New Roman" w:hAnsi="Times New Roman" w:cs="Times New Roman"/>
          <w:sz w:val="24"/>
          <w:szCs w:val="24"/>
        </w:rPr>
      </w:pPr>
    </w:p>
    <w:p w14:paraId="3E1D871F" w14:textId="0DD57533" w:rsidR="00B23579" w:rsidRDefault="00B23579" w:rsidP="00B17B7A">
      <w:pPr>
        <w:spacing w:after="0"/>
        <w:jc w:val="center"/>
        <w:rPr>
          <w:rFonts w:ascii="Times New Roman" w:hAnsi="Times New Roman" w:cs="Times New Roman"/>
          <w:sz w:val="24"/>
          <w:szCs w:val="24"/>
        </w:rPr>
      </w:pPr>
    </w:p>
    <w:p w14:paraId="50FDDD33" w14:textId="361BC5CB" w:rsidR="00B23579" w:rsidRDefault="00B23579" w:rsidP="00B17B7A">
      <w:pPr>
        <w:spacing w:after="0"/>
        <w:jc w:val="center"/>
        <w:rPr>
          <w:rFonts w:ascii="Times New Roman" w:hAnsi="Times New Roman" w:cs="Times New Roman"/>
          <w:sz w:val="24"/>
          <w:szCs w:val="24"/>
        </w:rPr>
      </w:pPr>
    </w:p>
    <w:p w14:paraId="627FD589" w14:textId="5D2FCBF9" w:rsidR="00B23579" w:rsidRDefault="00B23579" w:rsidP="00B17B7A">
      <w:pPr>
        <w:spacing w:after="0"/>
        <w:jc w:val="center"/>
        <w:rPr>
          <w:rFonts w:ascii="Times New Roman" w:hAnsi="Times New Roman" w:cs="Times New Roman"/>
          <w:sz w:val="24"/>
          <w:szCs w:val="24"/>
        </w:rPr>
      </w:pPr>
    </w:p>
    <w:p w14:paraId="0DB0FC2E" w14:textId="59C739B1" w:rsidR="00B23579" w:rsidRDefault="00B23579" w:rsidP="00B17B7A">
      <w:pPr>
        <w:spacing w:after="0"/>
        <w:jc w:val="center"/>
        <w:rPr>
          <w:rFonts w:ascii="Times New Roman" w:hAnsi="Times New Roman" w:cs="Times New Roman"/>
          <w:sz w:val="24"/>
          <w:szCs w:val="24"/>
        </w:rPr>
      </w:pPr>
    </w:p>
    <w:p w14:paraId="4AFD11FE" w14:textId="69A81D2E" w:rsidR="00B23579" w:rsidRDefault="00B23579" w:rsidP="00B17B7A">
      <w:pPr>
        <w:spacing w:after="0"/>
        <w:jc w:val="center"/>
        <w:rPr>
          <w:rFonts w:ascii="Times New Roman" w:hAnsi="Times New Roman" w:cs="Times New Roman"/>
          <w:sz w:val="24"/>
          <w:szCs w:val="24"/>
        </w:rPr>
      </w:pPr>
    </w:p>
    <w:p w14:paraId="71745ABB" w14:textId="17C99CCA" w:rsidR="00B23579" w:rsidRDefault="00B23579" w:rsidP="00B17B7A">
      <w:pPr>
        <w:spacing w:after="0"/>
        <w:jc w:val="center"/>
        <w:rPr>
          <w:rFonts w:ascii="Times New Roman" w:hAnsi="Times New Roman" w:cs="Times New Roman"/>
          <w:sz w:val="24"/>
          <w:szCs w:val="24"/>
        </w:rPr>
      </w:pPr>
    </w:p>
    <w:p w14:paraId="2C90B7BE" w14:textId="46E5BD01" w:rsidR="00B23579" w:rsidRDefault="00B23579" w:rsidP="00B17B7A">
      <w:pPr>
        <w:spacing w:after="0"/>
        <w:jc w:val="center"/>
        <w:rPr>
          <w:rFonts w:ascii="Times New Roman" w:hAnsi="Times New Roman" w:cs="Times New Roman"/>
          <w:sz w:val="24"/>
          <w:szCs w:val="24"/>
        </w:rPr>
      </w:pPr>
    </w:p>
    <w:p w14:paraId="7690A60D" w14:textId="263F46FF" w:rsidR="00B23579" w:rsidRDefault="00B23579" w:rsidP="00B17B7A">
      <w:pPr>
        <w:spacing w:after="0"/>
        <w:jc w:val="center"/>
        <w:rPr>
          <w:rFonts w:ascii="Times New Roman" w:hAnsi="Times New Roman" w:cs="Times New Roman"/>
          <w:sz w:val="24"/>
          <w:szCs w:val="24"/>
        </w:rPr>
      </w:pPr>
    </w:p>
    <w:p w14:paraId="64936B4B" w14:textId="0688011A" w:rsidR="00B23579" w:rsidRDefault="00B23579" w:rsidP="00B17B7A">
      <w:pPr>
        <w:spacing w:after="0"/>
        <w:jc w:val="center"/>
        <w:rPr>
          <w:rFonts w:ascii="Times New Roman" w:hAnsi="Times New Roman" w:cs="Times New Roman"/>
          <w:sz w:val="24"/>
          <w:szCs w:val="24"/>
        </w:rPr>
      </w:pPr>
    </w:p>
    <w:p w14:paraId="2A9F08A8" w14:textId="321BD013" w:rsidR="00B23579" w:rsidRDefault="00B23579" w:rsidP="00B17B7A">
      <w:pPr>
        <w:spacing w:after="0"/>
        <w:jc w:val="center"/>
        <w:rPr>
          <w:rFonts w:ascii="Times New Roman" w:hAnsi="Times New Roman" w:cs="Times New Roman"/>
          <w:sz w:val="24"/>
          <w:szCs w:val="24"/>
        </w:rPr>
      </w:pPr>
    </w:p>
    <w:p w14:paraId="700A47D5" w14:textId="5572BBE6" w:rsidR="00B23579" w:rsidRDefault="00B23579" w:rsidP="00B17B7A">
      <w:pPr>
        <w:spacing w:after="0"/>
        <w:jc w:val="center"/>
        <w:rPr>
          <w:rFonts w:ascii="Times New Roman" w:hAnsi="Times New Roman" w:cs="Times New Roman"/>
          <w:sz w:val="24"/>
          <w:szCs w:val="24"/>
        </w:rPr>
      </w:pPr>
    </w:p>
    <w:p w14:paraId="2D9F5AC5" w14:textId="556A06D7" w:rsidR="00B23579" w:rsidRDefault="00B23579" w:rsidP="00B17B7A">
      <w:pPr>
        <w:spacing w:after="0"/>
        <w:jc w:val="center"/>
        <w:rPr>
          <w:rFonts w:ascii="Times New Roman" w:hAnsi="Times New Roman" w:cs="Times New Roman"/>
          <w:sz w:val="24"/>
          <w:szCs w:val="24"/>
        </w:rPr>
      </w:pPr>
    </w:p>
    <w:p w14:paraId="5F9546B0" w14:textId="7CC5ACF1" w:rsidR="00B23579" w:rsidRDefault="00B23579" w:rsidP="00B17B7A">
      <w:pPr>
        <w:spacing w:after="0"/>
        <w:jc w:val="center"/>
        <w:rPr>
          <w:rFonts w:ascii="Times New Roman" w:hAnsi="Times New Roman" w:cs="Times New Roman"/>
          <w:sz w:val="24"/>
          <w:szCs w:val="24"/>
        </w:rPr>
      </w:pPr>
    </w:p>
    <w:p w14:paraId="4688A60B" w14:textId="0356BDA8" w:rsidR="00B23579" w:rsidRDefault="00B23579" w:rsidP="00B17B7A">
      <w:pPr>
        <w:spacing w:after="0"/>
        <w:jc w:val="center"/>
        <w:rPr>
          <w:rFonts w:ascii="Times New Roman" w:hAnsi="Times New Roman" w:cs="Times New Roman"/>
          <w:sz w:val="24"/>
          <w:szCs w:val="24"/>
        </w:rPr>
      </w:pPr>
    </w:p>
    <w:p w14:paraId="31B6785A" w14:textId="4033CF84" w:rsidR="00B23579" w:rsidRDefault="00B23579" w:rsidP="00B17B7A">
      <w:pPr>
        <w:spacing w:after="0"/>
        <w:jc w:val="center"/>
        <w:rPr>
          <w:rFonts w:ascii="Times New Roman" w:hAnsi="Times New Roman" w:cs="Times New Roman"/>
          <w:sz w:val="24"/>
          <w:szCs w:val="24"/>
        </w:rPr>
      </w:pPr>
    </w:p>
    <w:p w14:paraId="32ABEE70" w14:textId="77777777" w:rsidR="00FC3572" w:rsidRDefault="00FC3572" w:rsidP="00FC3572">
      <w:pPr>
        <w:spacing w:after="0"/>
        <w:jc w:val="center"/>
        <w:rPr>
          <w:rFonts w:ascii="Times New Roman" w:hAnsi="Times New Roman" w:cs="Times New Roman"/>
          <w:b/>
          <w:bCs/>
          <w:sz w:val="24"/>
          <w:szCs w:val="24"/>
        </w:rPr>
      </w:pPr>
    </w:p>
    <w:p w14:paraId="21B5247D" w14:textId="21F978EE" w:rsidR="0010362E" w:rsidRDefault="00B23579" w:rsidP="00FC3572">
      <w:pPr>
        <w:spacing w:after="0"/>
        <w:jc w:val="center"/>
        <w:rPr>
          <w:rFonts w:ascii="Times New Roman" w:hAnsi="Times New Roman" w:cs="Times New Roman"/>
          <w:b/>
          <w:bCs/>
          <w:sz w:val="24"/>
          <w:szCs w:val="24"/>
        </w:rPr>
      </w:pPr>
      <w:r>
        <w:rPr>
          <w:rFonts w:ascii="Times New Roman" w:hAnsi="Times New Roman" w:cs="Times New Roman"/>
          <w:b/>
          <w:bCs/>
          <w:sz w:val="24"/>
          <w:szCs w:val="24"/>
        </w:rPr>
        <w:lastRenderedPageBreak/>
        <w:t>PE</w:t>
      </w:r>
      <w:r w:rsidR="00D151FC" w:rsidRPr="00D151FC">
        <w:rPr>
          <w:rFonts w:ascii="Times New Roman" w:hAnsi="Times New Roman" w:cs="Times New Roman"/>
          <w:b/>
          <w:bCs/>
          <w:sz w:val="24"/>
          <w:szCs w:val="24"/>
        </w:rPr>
        <w:t>RMISSION</w:t>
      </w:r>
    </w:p>
    <w:p w14:paraId="130CC787" w14:textId="77777777" w:rsidR="0010362E" w:rsidRDefault="0010362E" w:rsidP="0010362E">
      <w:pPr>
        <w:spacing w:after="0"/>
        <w:jc w:val="center"/>
        <w:rPr>
          <w:rFonts w:ascii="Times New Roman" w:hAnsi="Times New Roman" w:cs="Times New Roman"/>
          <w:b/>
          <w:bCs/>
          <w:sz w:val="24"/>
          <w:szCs w:val="24"/>
        </w:rPr>
      </w:pPr>
    </w:p>
    <w:p w14:paraId="49E40E2A" w14:textId="77777777" w:rsidR="0010362E" w:rsidRDefault="0010362E" w:rsidP="0010362E">
      <w:pPr>
        <w:spacing w:after="0"/>
        <w:jc w:val="center"/>
        <w:rPr>
          <w:rFonts w:ascii="Times New Roman" w:hAnsi="Times New Roman" w:cs="Times New Roman"/>
          <w:b/>
          <w:bCs/>
          <w:sz w:val="24"/>
          <w:szCs w:val="24"/>
        </w:rPr>
      </w:pPr>
    </w:p>
    <w:p w14:paraId="5A43FEA0" w14:textId="4D0048E2" w:rsidR="0010362E" w:rsidRDefault="0010362E" w:rsidP="0010362E">
      <w:pPr>
        <w:spacing w:after="0"/>
        <w:jc w:val="center"/>
        <w:rPr>
          <w:rFonts w:ascii="Times New Roman" w:hAnsi="Times New Roman" w:cs="Times New Roman"/>
          <w:b/>
          <w:bCs/>
          <w:sz w:val="24"/>
          <w:szCs w:val="24"/>
        </w:rPr>
        <w:sectPr w:rsidR="0010362E" w:rsidSect="00442412">
          <w:footerReference w:type="default" r:id="rId8"/>
          <w:footerReference w:type="first" r:id="rId9"/>
          <w:pgSz w:w="12240" w:h="15840"/>
          <w:pgMar w:top="2880" w:right="1440" w:bottom="1440" w:left="1440" w:header="720" w:footer="720" w:gutter="0"/>
          <w:pgNumType w:fmt="lowerRoman"/>
          <w:cols w:space="720"/>
          <w:titlePg/>
          <w:docGrid w:linePitch="360"/>
        </w:sectPr>
      </w:pPr>
    </w:p>
    <w:p w14:paraId="5E418F56" w14:textId="5F771DEF" w:rsidR="0010362E" w:rsidRDefault="0010362E" w:rsidP="0010362E">
      <w:pPr>
        <w:spacing w:after="0"/>
        <w:rPr>
          <w:rFonts w:ascii="Times New Roman" w:hAnsi="Times New Roman" w:cs="Times New Roman"/>
          <w:sz w:val="24"/>
          <w:szCs w:val="24"/>
        </w:rPr>
      </w:pPr>
      <w:r>
        <w:rPr>
          <w:rFonts w:ascii="Times New Roman" w:hAnsi="Times New Roman" w:cs="Times New Roman"/>
          <w:sz w:val="24"/>
          <w:szCs w:val="24"/>
        </w:rPr>
        <w:t xml:space="preserve">Title </w:t>
      </w:r>
    </w:p>
    <w:p w14:paraId="5E9DC623" w14:textId="65C70760" w:rsidR="0010362E" w:rsidRDefault="0010362E" w:rsidP="0010362E">
      <w:pPr>
        <w:spacing w:after="0"/>
        <w:rPr>
          <w:rFonts w:ascii="Times New Roman" w:hAnsi="Times New Roman" w:cs="Times New Roman"/>
          <w:sz w:val="24"/>
          <w:szCs w:val="24"/>
        </w:rPr>
      </w:pPr>
    </w:p>
    <w:p w14:paraId="5D8A92F2" w14:textId="77777777" w:rsidR="0010362E" w:rsidRDefault="0010362E" w:rsidP="0010362E">
      <w:pPr>
        <w:spacing w:after="0"/>
        <w:rPr>
          <w:rFonts w:ascii="Times New Roman" w:hAnsi="Times New Roman" w:cs="Times New Roman"/>
          <w:sz w:val="24"/>
          <w:szCs w:val="24"/>
        </w:rPr>
      </w:pPr>
    </w:p>
    <w:p w14:paraId="0C7029EB" w14:textId="4604D877" w:rsidR="0010362E" w:rsidRDefault="0010362E" w:rsidP="0010362E">
      <w:pPr>
        <w:spacing w:after="0"/>
        <w:rPr>
          <w:rFonts w:ascii="Times New Roman" w:hAnsi="Times New Roman" w:cs="Times New Roman"/>
          <w:sz w:val="24"/>
          <w:szCs w:val="24"/>
        </w:rPr>
      </w:pPr>
      <w:r>
        <w:rPr>
          <w:rFonts w:ascii="Times New Roman" w:hAnsi="Times New Roman" w:cs="Times New Roman"/>
          <w:sz w:val="24"/>
          <w:szCs w:val="24"/>
        </w:rPr>
        <w:t>Department</w:t>
      </w:r>
    </w:p>
    <w:p w14:paraId="5E562E6F" w14:textId="2B404DE3" w:rsidR="0010362E" w:rsidRDefault="0010362E" w:rsidP="0010362E">
      <w:pPr>
        <w:spacing w:after="0"/>
        <w:rPr>
          <w:rFonts w:ascii="Times New Roman" w:hAnsi="Times New Roman" w:cs="Times New Roman"/>
          <w:sz w:val="24"/>
          <w:szCs w:val="24"/>
        </w:rPr>
      </w:pPr>
    </w:p>
    <w:p w14:paraId="5CF8D714" w14:textId="72057FB8" w:rsidR="0010362E" w:rsidRDefault="0010362E" w:rsidP="0010362E">
      <w:pPr>
        <w:spacing w:after="0"/>
        <w:rPr>
          <w:rFonts w:ascii="Times New Roman" w:hAnsi="Times New Roman" w:cs="Times New Roman"/>
          <w:sz w:val="24"/>
          <w:szCs w:val="24"/>
        </w:rPr>
      </w:pPr>
      <w:r>
        <w:rPr>
          <w:rFonts w:ascii="Times New Roman" w:hAnsi="Times New Roman" w:cs="Times New Roman"/>
          <w:sz w:val="24"/>
          <w:szCs w:val="24"/>
        </w:rPr>
        <w:t>Degree</w:t>
      </w:r>
    </w:p>
    <w:p w14:paraId="6A88F171" w14:textId="22A36F84" w:rsidR="0010362E" w:rsidRDefault="0010362E" w:rsidP="0010362E">
      <w:pPr>
        <w:spacing w:after="0"/>
        <w:rPr>
          <w:rFonts w:ascii="Times New Roman" w:hAnsi="Times New Roman" w:cs="Times New Roman"/>
          <w:sz w:val="24"/>
          <w:szCs w:val="24"/>
        </w:rPr>
      </w:pPr>
    </w:p>
    <w:p w14:paraId="72F9F145" w14:textId="79A9C77E" w:rsidR="0010362E" w:rsidRDefault="0010362E" w:rsidP="0010362E">
      <w:pPr>
        <w:spacing w:after="0"/>
        <w:rPr>
          <w:rFonts w:ascii="Times New Roman" w:hAnsi="Times New Roman" w:cs="Times New Roman"/>
          <w:sz w:val="24"/>
          <w:szCs w:val="24"/>
        </w:rPr>
      </w:pPr>
    </w:p>
    <w:p w14:paraId="6ED416B4" w14:textId="42F11AA2" w:rsidR="0010362E" w:rsidRDefault="0010362E" w:rsidP="0010362E">
      <w:pPr>
        <w:spacing w:after="0"/>
        <w:rPr>
          <w:rFonts w:ascii="Times New Roman" w:hAnsi="Times New Roman" w:cs="Times New Roman"/>
          <w:sz w:val="24"/>
          <w:szCs w:val="24"/>
        </w:rPr>
      </w:pPr>
      <w:r>
        <w:rPr>
          <w:rFonts w:ascii="Times New Roman" w:hAnsi="Times New Roman" w:cs="Times New Roman"/>
          <w:sz w:val="24"/>
          <w:szCs w:val="24"/>
        </w:rPr>
        <w:t>Unmanned Aircraft Systems (UAS) for Fog Research and Conducting an Operational Fog Abatement Program</w:t>
      </w:r>
    </w:p>
    <w:p w14:paraId="369784AE" w14:textId="6DC9DA27" w:rsidR="0010362E" w:rsidRDefault="0010362E" w:rsidP="0010362E">
      <w:pPr>
        <w:spacing w:after="0"/>
        <w:rPr>
          <w:rFonts w:ascii="Times New Roman" w:hAnsi="Times New Roman" w:cs="Times New Roman"/>
          <w:sz w:val="24"/>
          <w:szCs w:val="24"/>
        </w:rPr>
      </w:pPr>
    </w:p>
    <w:p w14:paraId="73C30D4A" w14:textId="5801BCF0" w:rsidR="0010362E" w:rsidRDefault="0010362E" w:rsidP="0010362E">
      <w:pPr>
        <w:spacing w:after="0"/>
        <w:rPr>
          <w:rFonts w:ascii="Times New Roman" w:hAnsi="Times New Roman" w:cs="Times New Roman"/>
          <w:sz w:val="24"/>
          <w:szCs w:val="24"/>
        </w:rPr>
      </w:pPr>
      <w:r>
        <w:rPr>
          <w:rFonts w:ascii="Times New Roman" w:hAnsi="Times New Roman" w:cs="Times New Roman"/>
          <w:sz w:val="24"/>
          <w:szCs w:val="24"/>
        </w:rPr>
        <w:t>Atmospheric Sciences</w:t>
      </w:r>
    </w:p>
    <w:p w14:paraId="55BA3035" w14:textId="62D8461B" w:rsidR="0010362E" w:rsidRDefault="0010362E" w:rsidP="0010362E">
      <w:pPr>
        <w:spacing w:after="0"/>
        <w:rPr>
          <w:rFonts w:ascii="Times New Roman" w:hAnsi="Times New Roman" w:cs="Times New Roman"/>
          <w:sz w:val="24"/>
          <w:szCs w:val="24"/>
        </w:rPr>
      </w:pPr>
    </w:p>
    <w:p w14:paraId="1E066662" w14:textId="711F487C" w:rsidR="0010362E" w:rsidRDefault="0010362E" w:rsidP="0010362E">
      <w:pPr>
        <w:spacing w:after="0"/>
        <w:rPr>
          <w:rFonts w:ascii="Times New Roman" w:hAnsi="Times New Roman" w:cs="Times New Roman"/>
          <w:sz w:val="24"/>
          <w:szCs w:val="24"/>
        </w:rPr>
      </w:pPr>
      <w:r>
        <w:rPr>
          <w:rFonts w:ascii="Times New Roman" w:hAnsi="Times New Roman" w:cs="Times New Roman"/>
          <w:sz w:val="24"/>
          <w:szCs w:val="24"/>
        </w:rPr>
        <w:t>Master of Science</w:t>
      </w:r>
    </w:p>
    <w:p w14:paraId="582CAC77" w14:textId="44E12EF7" w:rsidR="0010362E" w:rsidRDefault="0010362E" w:rsidP="0010362E">
      <w:pPr>
        <w:spacing w:after="0"/>
        <w:rPr>
          <w:rFonts w:ascii="Times New Roman" w:hAnsi="Times New Roman" w:cs="Times New Roman"/>
          <w:sz w:val="24"/>
          <w:szCs w:val="24"/>
        </w:rPr>
      </w:pPr>
    </w:p>
    <w:p w14:paraId="0A272A53" w14:textId="77777777" w:rsidR="0010362E" w:rsidRDefault="0010362E" w:rsidP="0010362E">
      <w:pPr>
        <w:spacing w:after="0"/>
        <w:rPr>
          <w:rFonts w:ascii="Times New Roman" w:hAnsi="Times New Roman" w:cs="Times New Roman"/>
          <w:sz w:val="24"/>
          <w:szCs w:val="24"/>
        </w:rPr>
        <w:sectPr w:rsidR="0010362E" w:rsidSect="0010362E">
          <w:type w:val="continuous"/>
          <w:pgSz w:w="12240" w:h="15840"/>
          <w:pgMar w:top="2880" w:right="1440" w:bottom="1440" w:left="1440" w:header="720" w:footer="720" w:gutter="0"/>
          <w:pgNumType w:fmt="lowerRoman"/>
          <w:cols w:num="2" w:space="720" w:equalWidth="0">
            <w:col w:w="1440" w:space="720"/>
            <w:col w:w="7200"/>
          </w:cols>
          <w:titlePg/>
          <w:docGrid w:linePitch="360"/>
        </w:sectPr>
      </w:pPr>
    </w:p>
    <w:p w14:paraId="0DD39C7D" w14:textId="0BB771BF" w:rsidR="0010362E" w:rsidRDefault="0010362E" w:rsidP="0010362E">
      <w:pPr>
        <w:spacing w:after="0"/>
        <w:rPr>
          <w:rFonts w:ascii="Times New Roman" w:hAnsi="Times New Roman" w:cs="Times New Roman"/>
          <w:sz w:val="24"/>
          <w:szCs w:val="24"/>
        </w:rPr>
      </w:pPr>
      <w:r>
        <w:rPr>
          <w:rFonts w:ascii="Times New Roman" w:hAnsi="Times New Roman" w:cs="Times New Roman"/>
          <w:sz w:val="24"/>
          <w:szCs w:val="24"/>
        </w:rPr>
        <w:t xml:space="preserve">In presenting this thesis in partial fulfillment of the requirements for a graduate degree from the University of North Dakota, I agree that the library of this University shall make it freely available for inspection. I further agree that permission for extensive copying for scholarly purposes may be granted by the professor who supervised my thesis work or, in his absence, by the Chairpersons of the department or the </w:t>
      </w:r>
      <w:r w:rsidR="00AF2B2F">
        <w:rPr>
          <w:rFonts w:ascii="Times New Roman" w:hAnsi="Times New Roman" w:cs="Times New Roman"/>
          <w:sz w:val="24"/>
          <w:szCs w:val="24"/>
        </w:rPr>
        <w:t xml:space="preserve">dean of the school of Graduate Studies. It is understood that due recognition shall be given to me and to the University of North Dakota in any scholarly use which may be made of any material in my thesis. </w:t>
      </w:r>
    </w:p>
    <w:p w14:paraId="17935FCA" w14:textId="0BCE9317" w:rsidR="00AF2B2F" w:rsidRDefault="00AF2B2F" w:rsidP="0010362E">
      <w:pPr>
        <w:spacing w:after="0"/>
        <w:rPr>
          <w:rFonts w:ascii="Times New Roman" w:hAnsi="Times New Roman" w:cs="Times New Roman"/>
          <w:sz w:val="24"/>
          <w:szCs w:val="24"/>
        </w:rPr>
      </w:pPr>
    </w:p>
    <w:p w14:paraId="0EED9082" w14:textId="00F97DD6" w:rsidR="00AF2B2F" w:rsidRDefault="00AF2B2F" w:rsidP="00AF2B2F">
      <w:pPr>
        <w:spacing w:after="0"/>
        <w:jc w:val="right"/>
        <w:rPr>
          <w:rFonts w:ascii="Times New Roman" w:hAnsi="Times New Roman" w:cs="Times New Roman"/>
          <w:sz w:val="24"/>
          <w:szCs w:val="24"/>
        </w:rPr>
      </w:pPr>
    </w:p>
    <w:p w14:paraId="7E5D2C57" w14:textId="577B0F40" w:rsidR="00AF2B2F" w:rsidRDefault="00AF2B2F" w:rsidP="00AF2B2F">
      <w:pPr>
        <w:spacing w:after="0"/>
        <w:jc w:val="right"/>
        <w:rPr>
          <w:rFonts w:ascii="Times New Roman" w:hAnsi="Times New Roman" w:cs="Times New Roman"/>
          <w:sz w:val="24"/>
          <w:szCs w:val="24"/>
        </w:rPr>
      </w:pPr>
    </w:p>
    <w:p w14:paraId="2704E331" w14:textId="18780035" w:rsidR="00AF2B2F" w:rsidRDefault="00AF2B2F" w:rsidP="00AF2B2F">
      <w:pPr>
        <w:spacing w:after="0"/>
        <w:jc w:val="right"/>
        <w:rPr>
          <w:rFonts w:ascii="Times New Roman" w:hAnsi="Times New Roman" w:cs="Times New Roman"/>
          <w:sz w:val="24"/>
          <w:szCs w:val="24"/>
        </w:rPr>
      </w:pPr>
      <w:r>
        <w:rPr>
          <w:rFonts w:ascii="Times New Roman" w:hAnsi="Times New Roman" w:cs="Times New Roman"/>
          <w:sz w:val="24"/>
          <w:szCs w:val="24"/>
        </w:rPr>
        <w:t>Michael Willette</w:t>
      </w:r>
    </w:p>
    <w:p w14:paraId="206A67BA" w14:textId="2D028A41" w:rsidR="0076353A" w:rsidRDefault="0076353A">
      <w:pPr>
        <w:rPr>
          <w:rFonts w:ascii="Times New Roman" w:hAnsi="Times New Roman" w:cs="Times New Roman"/>
          <w:sz w:val="24"/>
          <w:szCs w:val="24"/>
        </w:rPr>
      </w:pPr>
      <w:r>
        <w:rPr>
          <w:rFonts w:ascii="Times New Roman" w:hAnsi="Times New Roman" w:cs="Times New Roman"/>
          <w:sz w:val="24"/>
          <w:szCs w:val="24"/>
        </w:rPr>
        <w:br w:type="page"/>
      </w:r>
    </w:p>
    <w:sdt>
      <w:sdtPr>
        <w:rPr>
          <w:rFonts w:asciiTheme="minorHAnsi" w:eastAsiaTheme="minorHAnsi" w:hAnsiTheme="minorHAnsi" w:cstheme="minorBidi"/>
          <w:color w:val="auto"/>
          <w:sz w:val="22"/>
          <w:szCs w:val="22"/>
        </w:rPr>
        <w:id w:val="515971612"/>
        <w:docPartObj>
          <w:docPartGallery w:val="Table of Contents"/>
          <w:docPartUnique/>
        </w:docPartObj>
      </w:sdtPr>
      <w:sdtEndPr>
        <w:rPr>
          <w:b/>
          <w:bCs/>
          <w:noProof/>
        </w:rPr>
      </w:sdtEndPr>
      <w:sdtContent>
        <w:p w14:paraId="7E3596EC" w14:textId="3343392A" w:rsidR="00D92968" w:rsidRPr="00CC3D6B" w:rsidRDefault="00D92968" w:rsidP="00CC3D6B">
          <w:pPr>
            <w:pStyle w:val="TOCHeading"/>
            <w:jc w:val="center"/>
            <w:rPr>
              <w:rFonts w:ascii="Times New Roman" w:hAnsi="Times New Roman" w:cs="Times New Roman"/>
              <w:b/>
              <w:bCs/>
              <w:color w:val="auto"/>
              <w:sz w:val="24"/>
              <w:szCs w:val="24"/>
            </w:rPr>
          </w:pPr>
          <w:r w:rsidRPr="00CC3D6B">
            <w:rPr>
              <w:rFonts w:ascii="Times New Roman" w:hAnsi="Times New Roman" w:cs="Times New Roman"/>
              <w:b/>
              <w:bCs/>
              <w:color w:val="auto"/>
              <w:sz w:val="24"/>
              <w:szCs w:val="24"/>
            </w:rPr>
            <w:t>TABLE OF CONTENTS</w:t>
          </w:r>
        </w:p>
        <w:p w14:paraId="5148BEC4" w14:textId="77777777" w:rsidR="00D92968" w:rsidRPr="00894131" w:rsidRDefault="00D92968" w:rsidP="00D92968">
          <w:pPr>
            <w:rPr>
              <w:rFonts w:ascii="Times New Roman" w:hAnsi="Times New Roman" w:cs="Times New Roman"/>
              <w:b/>
              <w:bCs/>
              <w:sz w:val="24"/>
              <w:szCs w:val="24"/>
            </w:rPr>
          </w:pPr>
        </w:p>
        <w:p w14:paraId="3BE4E516" w14:textId="5FC80BE1" w:rsidR="0010654D" w:rsidRDefault="00D92968">
          <w:pPr>
            <w:pStyle w:val="TOC1"/>
            <w:rPr>
              <w:rFonts w:asciiTheme="minorHAnsi" w:eastAsiaTheme="minorEastAsia" w:hAnsiTheme="minorHAnsi" w:cstheme="minorBidi"/>
              <w:kern w:val="2"/>
              <w:sz w:val="22"/>
              <w:szCs w:val="22"/>
              <w14:ligatures w14:val="standardContextual"/>
            </w:rPr>
          </w:pPr>
          <w:r w:rsidRPr="00D93191">
            <w:rPr>
              <w:noProof w:val="0"/>
            </w:rPr>
            <w:fldChar w:fldCharType="begin"/>
          </w:r>
          <w:r w:rsidRPr="00D93191">
            <w:instrText xml:space="preserve"> TOC \o "1-3" \h \z \u </w:instrText>
          </w:r>
          <w:r w:rsidRPr="00D93191">
            <w:rPr>
              <w:noProof w:val="0"/>
            </w:rPr>
            <w:fldChar w:fldCharType="separate"/>
          </w:r>
          <w:hyperlink w:anchor="_Toc152692004" w:history="1">
            <w:r w:rsidR="0010654D" w:rsidRPr="00D05D0D">
              <w:rPr>
                <w:rStyle w:val="Hyperlink"/>
              </w:rPr>
              <w:t>LIST OF FIGURES</w:t>
            </w:r>
            <w:r w:rsidR="0010654D">
              <w:rPr>
                <w:webHidden/>
              </w:rPr>
              <w:tab/>
            </w:r>
            <w:r w:rsidR="0010654D">
              <w:rPr>
                <w:webHidden/>
              </w:rPr>
              <w:fldChar w:fldCharType="begin"/>
            </w:r>
            <w:r w:rsidR="0010654D">
              <w:rPr>
                <w:webHidden/>
              </w:rPr>
              <w:instrText xml:space="preserve"> PAGEREF _Toc152692004 \h </w:instrText>
            </w:r>
            <w:r w:rsidR="0010654D">
              <w:rPr>
                <w:webHidden/>
              </w:rPr>
            </w:r>
            <w:r w:rsidR="0010654D">
              <w:rPr>
                <w:webHidden/>
              </w:rPr>
              <w:fldChar w:fldCharType="separate"/>
            </w:r>
            <w:r w:rsidR="0010654D">
              <w:rPr>
                <w:webHidden/>
              </w:rPr>
              <w:t>3</w:t>
            </w:r>
            <w:r w:rsidR="0010654D">
              <w:rPr>
                <w:webHidden/>
              </w:rPr>
              <w:fldChar w:fldCharType="end"/>
            </w:r>
          </w:hyperlink>
        </w:p>
        <w:p w14:paraId="57355C99" w14:textId="3C6913D7" w:rsidR="0010654D" w:rsidRDefault="00C0408C">
          <w:pPr>
            <w:pStyle w:val="TOC1"/>
            <w:rPr>
              <w:rFonts w:asciiTheme="minorHAnsi" w:eastAsiaTheme="minorEastAsia" w:hAnsiTheme="minorHAnsi" w:cstheme="minorBidi"/>
              <w:kern w:val="2"/>
              <w:sz w:val="22"/>
              <w:szCs w:val="22"/>
              <w14:ligatures w14:val="standardContextual"/>
            </w:rPr>
          </w:pPr>
          <w:hyperlink w:anchor="_Toc152692006" w:history="1">
            <w:r w:rsidR="0010654D" w:rsidRPr="00D05D0D">
              <w:rPr>
                <w:rStyle w:val="Hyperlink"/>
              </w:rPr>
              <w:t>LIST OF TABLES</w:t>
            </w:r>
            <w:r w:rsidR="0010654D">
              <w:rPr>
                <w:webHidden/>
              </w:rPr>
              <w:tab/>
            </w:r>
            <w:r w:rsidR="0010654D">
              <w:rPr>
                <w:webHidden/>
              </w:rPr>
              <w:fldChar w:fldCharType="begin"/>
            </w:r>
            <w:r w:rsidR="0010654D">
              <w:rPr>
                <w:webHidden/>
              </w:rPr>
              <w:instrText xml:space="preserve"> PAGEREF _Toc152692006 \h </w:instrText>
            </w:r>
            <w:r w:rsidR="0010654D">
              <w:rPr>
                <w:webHidden/>
              </w:rPr>
            </w:r>
            <w:r w:rsidR="0010654D">
              <w:rPr>
                <w:webHidden/>
              </w:rPr>
              <w:fldChar w:fldCharType="separate"/>
            </w:r>
            <w:r w:rsidR="0010654D">
              <w:rPr>
                <w:webHidden/>
              </w:rPr>
              <w:t>7</w:t>
            </w:r>
            <w:r w:rsidR="0010654D">
              <w:rPr>
                <w:webHidden/>
              </w:rPr>
              <w:fldChar w:fldCharType="end"/>
            </w:r>
          </w:hyperlink>
        </w:p>
        <w:p w14:paraId="352E5118" w14:textId="5699BDCA" w:rsidR="0010654D" w:rsidRDefault="00C0408C">
          <w:pPr>
            <w:pStyle w:val="TOC1"/>
            <w:rPr>
              <w:rFonts w:asciiTheme="minorHAnsi" w:eastAsiaTheme="minorEastAsia" w:hAnsiTheme="minorHAnsi" w:cstheme="minorBidi"/>
              <w:kern w:val="2"/>
              <w:sz w:val="22"/>
              <w:szCs w:val="22"/>
              <w14:ligatures w14:val="standardContextual"/>
            </w:rPr>
          </w:pPr>
          <w:hyperlink w:anchor="_Toc152692007" w:history="1">
            <w:r w:rsidR="0010654D" w:rsidRPr="00D05D0D">
              <w:rPr>
                <w:rStyle w:val="Hyperlink"/>
              </w:rPr>
              <w:t>ACKNOWLEDGEMENTS</w:t>
            </w:r>
            <w:r w:rsidR="0010654D">
              <w:rPr>
                <w:webHidden/>
              </w:rPr>
              <w:tab/>
            </w:r>
            <w:r w:rsidR="0010654D">
              <w:rPr>
                <w:webHidden/>
              </w:rPr>
              <w:fldChar w:fldCharType="begin"/>
            </w:r>
            <w:r w:rsidR="0010654D">
              <w:rPr>
                <w:webHidden/>
              </w:rPr>
              <w:instrText xml:space="preserve"> PAGEREF _Toc152692007 \h </w:instrText>
            </w:r>
            <w:r w:rsidR="0010654D">
              <w:rPr>
                <w:webHidden/>
              </w:rPr>
            </w:r>
            <w:r w:rsidR="0010654D">
              <w:rPr>
                <w:webHidden/>
              </w:rPr>
              <w:fldChar w:fldCharType="separate"/>
            </w:r>
            <w:r w:rsidR="0010654D">
              <w:rPr>
                <w:webHidden/>
              </w:rPr>
              <w:t>8</w:t>
            </w:r>
            <w:r w:rsidR="0010654D">
              <w:rPr>
                <w:webHidden/>
              </w:rPr>
              <w:fldChar w:fldCharType="end"/>
            </w:r>
          </w:hyperlink>
        </w:p>
        <w:p w14:paraId="4CE9D4B1" w14:textId="02442B81" w:rsidR="0010654D" w:rsidRDefault="00C0408C">
          <w:pPr>
            <w:pStyle w:val="TOC1"/>
            <w:rPr>
              <w:rFonts w:asciiTheme="minorHAnsi" w:eastAsiaTheme="minorEastAsia" w:hAnsiTheme="minorHAnsi" w:cstheme="minorBidi"/>
              <w:kern w:val="2"/>
              <w:sz w:val="22"/>
              <w:szCs w:val="22"/>
              <w14:ligatures w14:val="standardContextual"/>
            </w:rPr>
          </w:pPr>
          <w:hyperlink w:anchor="_Toc152692008" w:history="1">
            <w:r w:rsidR="0010654D" w:rsidRPr="00D05D0D">
              <w:rPr>
                <w:rStyle w:val="Hyperlink"/>
              </w:rPr>
              <w:t>ABSTRACT</w:t>
            </w:r>
            <w:r w:rsidR="0010654D">
              <w:rPr>
                <w:webHidden/>
              </w:rPr>
              <w:tab/>
            </w:r>
            <w:r w:rsidR="0010654D">
              <w:rPr>
                <w:webHidden/>
              </w:rPr>
              <w:fldChar w:fldCharType="begin"/>
            </w:r>
            <w:r w:rsidR="0010654D">
              <w:rPr>
                <w:webHidden/>
              </w:rPr>
              <w:instrText xml:space="preserve"> PAGEREF _Toc152692008 \h </w:instrText>
            </w:r>
            <w:r w:rsidR="0010654D">
              <w:rPr>
                <w:webHidden/>
              </w:rPr>
            </w:r>
            <w:r w:rsidR="0010654D">
              <w:rPr>
                <w:webHidden/>
              </w:rPr>
              <w:fldChar w:fldCharType="separate"/>
            </w:r>
            <w:r w:rsidR="0010654D">
              <w:rPr>
                <w:webHidden/>
              </w:rPr>
              <w:t>9</w:t>
            </w:r>
            <w:r w:rsidR="0010654D">
              <w:rPr>
                <w:webHidden/>
              </w:rPr>
              <w:fldChar w:fldCharType="end"/>
            </w:r>
          </w:hyperlink>
        </w:p>
        <w:p w14:paraId="41917560" w14:textId="2190756C" w:rsidR="0010654D" w:rsidRDefault="00C0408C">
          <w:pPr>
            <w:pStyle w:val="TOC1"/>
            <w:rPr>
              <w:rFonts w:asciiTheme="minorHAnsi" w:eastAsiaTheme="minorEastAsia" w:hAnsiTheme="minorHAnsi" w:cstheme="minorBidi"/>
              <w:kern w:val="2"/>
              <w:sz w:val="22"/>
              <w:szCs w:val="22"/>
              <w14:ligatures w14:val="standardContextual"/>
            </w:rPr>
          </w:pPr>
          <w:hyperlink w:anchor="_Toc152692009" w:history="1">
            <w:r w:rsidR="0010654D" w:rsidRPr="00D05D0D">
              <w:rPr>
                <w:rStyle w:val="Hyperlink"/>
              </w:rPr>
              <w:t>CHAPTER I: INTRODUCTION</w:t>
            </w:r>
            <w:r w:rsidR="0010654D">
              <w:rPr>
                <w:webHidden/>
              </w:rPr>
              <w:tab/>
            </w:r>
            <w:r w:rsidR="0010654D">
              <w:rPr>
                <w:webHidden/>
              </w:rPr>
              <w:fldChar w:fldCharType="begin"/>
            </w:r>
            <w:r w:rsidR="0010654D">
              <w:rPr>
                <w:webHidden/>
              </w:rPr>
              <w:instrText xml:space="preserve"> PAGEREF _Toc152692009 \h </w:instrText>
            </w:r>
            <w:r w:rsidR="0010654D">
              <w:rPr>
                <w:webHidden/>
              </w:rPr>
            </w:r>
            <w:r w:rsidR="0010654D">
              <w:rPr>
                <w:webHidden/>
              </w:rPr>
              <w:fldChar w:fldCharType="separate"/>
            </w:r>
            <w:r w:rsidR="0010654D">
              <w:rPr>
                <w:webHidden/>
              </w:rPr>
              <w:t>10</w:t>
            </w:r>
            <w:r w:rsidR="0010654D">
              <w:rPr>
                <w:webHidden/>
              </w:rPr>
              <w:fldChar w:fldCharType="end"/>
            </w:r>
          </w:hyperlink>
        </w:p>
        <w:p w14:paraId="0450AD02" w14:textId="69500187" w:rsidR="0010654D" w:rsidRDefault="00C0408C">
          <w:pPr>
            <w:pStyle w:val="TOC1"/>
            <w:rPr>
              <w:rFonts w:asciiTheme="minorHAnsi" w:eastAsiaTheme="minorEastAsia" w:hAnsiTheme="minorHAnsi" w:cstheme="minorBidi"/>
              <w:kern w:val="2"/>
              <w:sz w:val="22"/>
              <w:szCs w:val="22"/>
              <w14:ligatures w14:val="standardContextual"/>
            </w:rPr>
          </w:pPr>
          <w:hyperlink w:anchor="_Toc152692010" w:history="1">
            <w:r w:rsidR="0010654D" w:rsidRPr="00D05D0D">
              <w:rPr>
                <w:rStyle w:val="Hyperlink"/>
              </w:rPr>
              <w:t>CHAPTER II: INSTRUMENTATION AND DATA</w:t>
            </w:r>
            <w:r w:rsidR="0010654D">
              <w:rPr>
                <w:webHidden/>
              </w:rPr>
              <w:tab/>
            </w:r>
            <w:r w:rsidR="0010654D">
              <w:rPr>
                <w:webHidden/>
              </w:rPr>
              <w:fldChar w:fldCharType="begin"/>
            </w:r>
            <w:r w:rsidR="0010654D">
              <w:rPr>
                <w:webHidden/>
              </w:rPr>
              <w:instrText xml:space="preserve"> PAGEREF _Toc152692010 \h </w:instrText>
            </w:r>
            <w:r w:rsidR="0010654D">
              <w:rPr>
                <w:webHidden/>
              </w:rPr>
            </w:r>
            <w:r w:rsidR="0010654D">
              <w:rPr>
                <w:webHidden/>
              </w:rPr>
              <w:fldChar w:fldCharType="separate"/>
            </w:r>
            <w:r w:rsidR="0010654D">
              <w:rPr>
                <w:webHidden/>
              </w:rPr>
              <w:t>18</w:t>
            </w:r>
            <w:r w:rsidR="0010654D">
              <w:rPr>
                <w:webHidden/>
              </w:rPr>
              <w:fldChar w:fldCharType="end"/>
            </w:r>
          </w:hyperlink>
        </w:p>
        <w:p w14:paraId="2609E3FE" w14:textId="30C4EC08" w:rsidR="0010654D" w:rsidRDefault="00C0408C">
          <w:pPr>
            <w:pStyle w:val="TOC3"/>
            <w:tabs>
              <w:tab w:val="right" w:leader="dot" w:pos="9350"/>
            </w:tabs>
            <w:rPr>
              <w:rFonts w:eastAsiaTheme="minorEastAsia"/>
              <w:noProof/>
              <w:kern w:val="2"/>
              <w14:ligatures w14:val="standardContextual"/>
            </w:rPr>
          </w:pPr>
          <w:hyperlink w:anchor="_Toc152692011" w:history="1">
            <w:r w:rsidR="0010654D" w:rsidRPr="00D05D0D">
              <w:rPr>
                <w:rStyle w:val="Hyperlink"/>
                <w:noProof/>
              </w:rPr>
              <w:t>IMet-XQ2</w:t>
            </w:r>
            <w:r w:rsidR="0010654D">
              <w:rPr>
                <w:noProof/>
                <w:webHidden/>
              </w:rPr>
              <w:tab/>
            </w:r>
            <w:r w:rsidR="0010654D">
              <w:rPr>
                <w:noProof/>
                <w:webHidden/>
              </w:rPr>
              <w:fldChar w:fldCharType="begin"/>
            </w:r>
            <w:r w:rsidR="0010654D">
              <w:rPr>
                <w:noProof/>
                <w:webHidden/>
              </w:rPr>
              <w:instrText xml:space="preserve"> PAGEREF _Toc152692011 \h </w:instrText>
            </w:r>
            <w:r w:rsidR="0010654D">
              <w:rPr>
                <w:noProof/>
                <w:webHidden/>
              </w:rPr>
            </w:r>
            <w:r w:rsidR="0010654D">
              <w:rPr>
                <w:noProof/>
                <w:webHidden/>
              </w:rPr>
              <w:fldChar w:fldCharType="separate"/>
            </w:r>
            <w:r w:rsidR="0010654D">
              <w:rPr>
                <w:noProof/>
                <w:webHidden/>
              </w:rPr>
              <w:t>18</w:t>
            </w:r>
            <w:r w:rsidR="0010654D">
              <w:rPr>
                <w:noProof/>
                <w:webHidden/>
              </w:rPr>
              <w:fldChar w:fldCharType="end"/>
            </w:r>
          </w:hyperlink>
        </w:p>
        <w:p w14:paraId="647C5EF0" w14:textId="65A4064D" w:rsidR="0010654D" w:rsidRDefault="00C0408C">
          <w:pPr>
            <w:pStyle w:val="TOC3"/>
            <w:tabs>
              <w:tab w:val="right" w:leader="dot" w:pos="9350"/>
            </w:tabs>
            <w:rPr>
              <w:rFonts w:eastAsiaTheme="minorEastAsia"/>
              <w:noProof/>
              <w:kern w:val="2"/>
              <w14:ligatures w14:val="standardContextual"/>
            </w:rPr>
          </w:pPr>
          <w:hyperlink w:anchor="_Toc152692012" w:history="1">
            <w:r w:rsidR="0010654D" w:rsidRPr="00D05D0D">
              <w:rPr>
                <w:rStyle w:val="Hyperlink"/>
                <w:noProof/>
              </w:rPr>
              <w:t>MiniOFS</w:t>
            </w:r>
            <w:r w:rsidR="0010654D">
              <w:rPr>
                <w:noProof/>
                <w:webHidden/>
              </w:rPr>
              <w:tab/>
            </w:r>
            <w:r w:rsidR="0010654D">
              <w:rPr>
                <w:noProof/>
                <w:webHidden/>
              </w:rPr>
              <w:fldChar w:fldCharType="begin"/>
            </w:r>
            <w:r w:rsidR="0010654D">
              <w:rPr>
                <w:noProof/>
                <w:webHidden/>
              </w:rPr>
              <w:instrText xml:space="preserve"> PAGEREF _Toc152692012 \h </w:instrText>
            </w:r>
            <w:r w:rsidR="0010654D">
              <w:rPr>
                <w:noProof/>
                <w:webHidden/>
              </w:rPr>
            </w:r>
            <w:r w:rsidR="0010654D">
              <w:rPr>
                <w:noProof/>
                <w:webHidden/>
              </w:rPr>
              <w:fldChar w:fldCharType="separate"/>
            </w:r>
            <w:r w:rsidR="0010654D">
              <w:rPr>
                <w:noProof/>
                <w:webHidden/>
              </w:rPr>
              <w:t>19</w:t>
            </w:r>
            <w:r w:rsidR="0010654D">
              <w:rPr>
                <w:noProof/>
                <w:webHidden/>
              </w:rPr>
              <w:fldChar w:fldCharType="end"/>
            </w:r>
          </w:hyperlink>
        </w:p>
        <w:p w14:paraId="12530AF6" w14:textId="04FD4680" w:rsidR="0010654D" w:rsidRDefault="00C0408C">
          <w:pPr>
            <w:pStyle w:val="TOC3"/>
            <w:tabs>
              <w:tab w:val="right" w:leader="dot" w:pos="9350"/>
            </w:tabs>
            <w:rPr>
              <w:rFonts w:eastAsiaTheme="minorEastAsia"/>
              <w:noProof/>
              <w:kern w:val="2"/>
              <w14:ligatures w14:val="standardContextual"/>
            </w:rPr>
          </w:pPr>
          <w:hyperlink w:anchor="_Toc152692013" w:history="1">
            <w:r w:rsidR="0010654D" w:rsidRPr="00D05D0D">
              <w:rPr>
                <w:rStyle w:val="Hyperlink"/>
                <w:noProof/>
              </w:rPr>
              <w:t>UAS Platform</w:t>
            </w:r>
            <w:r w:rsidR="0010654D">
              <w:rPr>
                <w:noProof/>
                <w:webHidden/>
              </w:rPr>
              <w:tab/>
            </w:r>
            <w:r w:rsidR="0010654D">
              <w:rPr>
                <w:noProof/>
                <w:webHidden/>
              </w:rPr>
              <w:fldChar w:fldCharType="begin"/>
            </w:r>
            <w:r w:rsidR="0010654D">
              <w:rPr>
                <w:noProof/>
                <w:webHidden/>
              </w:rPr>
              <w:instrText xml:space="preserve"> PAGEREF _Toc152692013 \h </w:instrText>
            </w:r>
            <w:r w:rsidR="0010654D">
              <w:rPr>
                <w:noProof/>
                <w:webHidden/>
              </w:rPr>
            </w:r>
            <w:r w:rsidR="0010654D">
              <w:rPr>
                <w:noProof/>
                <w:webHidden/>
              </w:rPr>
              <w:fldChar w:fldCharType="separate"/>
            </w:r>
            <w:r w:rsidR="0010654D">
              <w:rPr>
                <w:noProof/>
                <w:webHidden/>
              </w:rPr>
              <w:t>21</w:t>
            </w:r>
            <w:r w:rsidR="0010654D">
              <w:rPr>
                <w:noProof/>
                <w:webHidden/>
              </w:rPr>
              <w:fldChar w:fldCharType="end"/>
            </w:r>
          </w:hyperlink>
        </w:p>
        <w:p w14:paraId="16D836D1" w14:textId="62F1D797" w:rsidR="0010654D" w:rsidRDefault="00C0408C">
          <w:pPr>
            <w:pStyle w:val="TOC3"/>
            <w:tabs>
              <w:tab w:val="right" w:leader="dot" w:pos="9350"/>
            </w:tabs>
            <w:rPr>
              <w:rFonts w:eastAsiaTheme="minorEastAsia"/>
              <w:noProof/>
              <w:kern w:val="2"/>
              <w14:ligatures w14:val="standardContextual"/>
            </w:rPr>
          </w:pPr>
          <w:hyperlink w:anchor="_Toc152692014" w:history="1">
            <w:r w:rsidR="0010654D" w:rsidRPr="00D05D0D">
              <w:rPr>
                <w:rStyle w:val="Hyperlink"/>
                <w:noProof/>
              </w:rPr>
              <w:t>Ground-based Platform</w:t>
            </w:r>
            <w:r w:rsidR="0010654D">
              <w:rPr>
                <w:noProof/>
                <w:webHidden/>
              </w:rPr>
              <w:tab/>
            </w:r>
            <w:r w:rsidR="0010654D">
              <w:rPr>
                <w:noProof/>
                <w:webHidden/>
              </w:rPr>
              <w:fldChar w:fldCharType="begin"/>
            </w:r>
            <w:r w:rsidR="0010654D">
              <w:rPr>
                <w:noProof/>
                <w:webHidden/>
              </w:rPr>
              <w:instrText xml:space="preserve"> PAGEREF _Toc152692014 \h </w:instrText>
            </w:r>
            <w:r w:rsidR="0010654D">
              <w:rPr>
                <w:noProof/>
                <w:webHidden/>
              </w:rPr>
            </w:r>
            <w:r w:rsidR="0010654D">
              <w:rPr>
                <w:noProof/>
                <w:webHidden/>
              </w:rPr>
              <w:fldChar w:fldCharType="separate"/>
            </w:r>
            <w:r w:rsidR="0010654D">
              <w:rPr>
                <w:noProof/>
                <w:webHidden/>
              </w:rPr>
              <w:t>25</w:t>
            </w:r>
            <w:r w:rsidR="0010654D">
              <w:rPr>
                <w:noProof/>
                <w:webHidden/>
              </w:rPr>
              <w:fldChar w:fldCharType="end"/>
            </w:r>
          </w:hyperlink>
        </w:p>
        <w:p w14:paraId="7FBBB348" w14:textId="2B105DDD" w:rsidR="0010654D" w:rsidRDefault="00C0408C">
          <w:pPr>
            <w:pStyle w:val="TOC3"/>
            <w:tabs>
              <w:tab w:val="right" w:leader="dot" w:pos="9350"/>
            </w:tabs>
            <w:rPr>
              <w:rFonts w:eastAsiaTheme="minorEastAsia"/>
              <w:noProof/>
              <w:kern w:val="2"/>
              <w14:ligatures w14:val="standardContextual"/>
            </w:rPr>
          </w:pPr>
          <w:hyperlink w:anchor="_Toc152692015" w:history="1">
            <w:r w:rsidR="0010654D" w:rsidRPr="00D05D0D">
              <w:rPr>
                <w:rStyle w:val="Hyperlink"/>
                <w:noProof/>
              </w:rPr>
              <w:t>Data Acquisition</w:t>
            </w:r>
            <w:r w:rsidR="0010654D">
              <w:rPr>
                <w:noProof/>
                <w:webHidden/>
              </w:rPr>
              <w:tab/>
            </w:r>
            <w:r w:rsidR="0010654D">
              <w:rPr>
                <w:noProof/>
                <w:webHidden/>
              </w:rPr>
              <w:fldChar w:fldCharType="begin"/>
            </w:r>
            <w:r w:rsidR="0010654D">
              <w:rPr>
                <w:noProof/>
                <w:webHidden/>
              </w:rPr>
              <w:instrText xml:space="preserve"> PAGEREF _Toc152692015 \h </w:instrText>
            </w:r>
            <w:r w:rsidR="0010654D">
              <w:rPr>
                <w:noProof/>
                <w:webHidden/>
              </w:rPr>
            </w:r>
            <w:r w:rsidR="0010654D">
              <w:rPr>
                <w:noProof/>
                <w:webHidden/>
              </w:rPr>
              <w:fldChar w:fldCharType="separate"/>
            </w:r>
            <w:r w:rsidR="0010654D">
              <w:rPr>
                <w:noProof/>
                <w:webHidden/>
              </w:rPr>
              <w:t>28</w:t>
            </w:r>
            <w:r w:rsidR="0010654D">
              <w:rPr>
                <w:noProof/>
                <w:webHidden/>
              </w:rPr>
              <w:fldChar w:fldCharType="end"/>
            </w:r>
          </w:hyperlink>
        </w:p>
        <w:p w14:paraId="5ED9DCAC" w14:textId="6914607A" w:rsidR="0010654D" w:rsidRDefault="00C0408C">
          <w:pPr>
            <w:pStyle w:val="TOC1"/>
            <w:rPr>
              <w:rFonts w:asciiTheme="minorHAnsi" w:eastAsiaTheme="minorEastAsia" w:hAnsiTheme="minorHAnsi" w:cstheme="minorBidi"/>
              <w:kern w:val="2"/>
              <w:sz w:val="22"/>
              <w:szCs w:val="22"/>
              <w14:ligatures w14:val="standardContextual"/>
            </w:rPr>
          </w:pPr>
          <w:hyperlink w:anchor="_Toc152692016" w:history="1">
            <w:r w:rsidR="0010654D" w:rsidRPr="00D05D0D">
              <w:rPr>
                <w:rStyle w:val="Hyperlink"/>
              </w:rPr>
              <w:t>CHAPTER III: METHODOLOGY</w:t>
            </w:r>
            <w:r w:rsidR="0010654D">
              <w:rPr>
                <w:webHidden/>
              </w:rPr>
              <w:tab/>
            </w:r>
            <w:r w:rsidR="0010654D">
              <w:rPr>
                <w:webHidden/>
              </w:rPr>
              <w:fldChar w:fldCharType="begin"/>
            </w:r>
            <w:r w:rsidR="0010654D">
              <w:rPr>
                <w:webHidden/>
              </w:rPr>
              <w:instrText xml:space="preserve"> PAGEREF _Toc152692016 \h </w:instrText>
            </w:r>
            <w:r w:rsidR="0010654D">
              <w:rPr>
                <w:webHidden/>
              </w:rPr>
            </w:r>
            <w:r w:rsidR="0010654D">
              <w:rPr>
                <w:webHidden/>
              </w:rPr>
              <w:fldChar w:fldCharType="separate"/>
            </w:r>
            <w:r w:rsidR="0010654D">
              <w:rPr>
                <w:webHidden/>
              </w:rPr>
              <w:t>30</w:t>
            </w:r>
            <w:r w:rsidR="0010654D">
              <w:rPr>
                <w:webHidden/>
              </w:rPr>
              <w:fldChar w:fldCharType="end"/>
            </w:r>
          </w:hyperlink>
        </w:p>
        <w:p w14:paraId="66F394B7" w14:textId="2E19CE74" w:rsidR="0010654D" w:rsidRDefault="00C0408C">
          <w:pPr>
            <w:pStyle w:val="TOC3"/>
            <w:tabs>
              <w:tab w:val="right" w:leader="dot" w:pos="9350"/>
            </w:tabs>
            <w:rPr>
              <w:rFonts w:eastAsiaTheme="minorEastAsia"/>
              <w:noProof/>
              <w:kern w:val="2"/>
              <w14:ligatures w14:val="standardContextual"/>
            </w:rPr>
          </w:pPr>
          <w:hyperlink w:anchor="_Toc152692017" w:history="1">
            <w:r w:rsidR="0010654D" w:rsidRPr="00D05D0D">
              <w:rPr>
                <w:rStyle w:val="Hyperlink"/>
                <w:noProof/>
              </w:rPr>
              <w:t>Fog Climatology</w:t>
            </w:r>
            <w:r w:rsidR="0010654D">
              <w:rPr>
                <w:noProof/>
                <w:webHidden/>
              </w:rPr>
              <w:tab/>
            </w:r>
            <w:r w:rsidR="0010654D">
              <w:rPr>
                <w:noProof/>
                <w:webHidden/>
              </w:rPr>
              <w:fldChar w:fldCharType="begin"/>
            </w:r>
            <w:r w:rsidR="0010654D">
              <w:rPr>
                <w:noProof/>
                <w:webHidden/>
              </w:rPr>
              <w:instrText xml:space="preserve"> PAGEREF _Toc152692017 \h </w:instrText>
            </w:r>
            <w:r w:rsidR="0010654D">
              <w:rPr>
                <w:noProof/>
                <w:webHidden/>
              </w:rPr>
            </w:r>
            <w:r w:rsidR="0010654D">
              <w:rPr>
                <w:noProof/>
                <w:webHidden/>
              </w:rPr>
              <w:fldChar w:fldCharType="separate"/>
            </w:r>
            <w:r w:rsidR="0010654D">
              <w:rPr>
                <w:noProof/>
                <w:webHidden/>
              </w:rPr>
              <w:t>30</w:t>
            </w:r>
            <w:r w:rsidR="0010654D">
              <w:rPr>
                <w:noProof/>
                <w:webHidden/>
              </w:rPr>
              <w:fldChar w:fldCharType="end"/>
            </w:r>
          </w:hyperlink>
        </w:p>
        <w:p w14:paraId="299D0F57" w14:textId="7189F8C6" w:rsidR="0010654D" w:rsidRDefault="00C0408C">
          <w:pPr>
            <w:pStyle w:val="TOC3"/>
            <w:tabs>
              <w:tab w:val="right" w:leader="dot" w:pos="9350"/>
            </w:tabs>
            <w:rPr>
              <w:rFonts w:eastAsiaTheme="minorEastAsia"/>
              <w:noProof/>
              <w:kern w:val="2"/>
              <w14:ligatures w14:val="standardContextual"/>
            </w:rPr>
          </w:pPr>
          <w:hyperlink w:anchor="_Toc152692018" w:history="1">
            <w:r w:rsidR="0010654D" w:rsidRPr="00D05D0D">
              <w:rPr>
                <w:rStyle w:val="Hyperlink"/>
                <w:noProof/>
              </w:rPr>
              <w:t>Instrumentation Analysis</w:t>
            </w:r>
            <w:r w:rsidR="0010654D">
              <w:rPr>
                <w:noProof/>
                <w:webHidden/>
              </w:rPr>
              <w:tab/>
            </w:r>
            <w:r w:rsidR="0010654D">
              <w:rPr>
                <w:noProof/>
                <w:webHidden/>
              </w:rPr>
              <w:fldChar w:fldCharType="begin"/>
            </w:r>
            <w:r w:rsidR="0010654D">
              <w:rPr>
                <w:noProof/>
                <w:webHidden/>
              </w:rPr>
              <w:instrText xml:space="preserve"> PAGEREF _Toc152692018 \h </w:instrText>
            </w:r>
            <w:r w:rsidR="0010654D">
              <w:rPr>
                <w:noProof/>
                <w:webHidden/>
              </w:rPr>
            </w:r>
            <w:r w:rsidR="0010654D">
              <w:rPr>
                <w:noProof/>
                <w:webHidden/>
              </w:rPr>
              <w:fldChar w:fldCharType="separate"/>
            </w:r>
            <w:r w:rsidR="0010654D">
              <w:rPr>
                <w:noProof/>
                <w:webHidden/>
              </w:rPr>
              <w:t>34</w:t>
            </w:r>
            <w:r w:rsidR="0010654D">
              <w:rPr>
                <w:noProof/>
                <w:webHidden/>
              </w:rPr>
              <w:fldChar w:fldCharType="end"/>
            </w:r>
          </w:hyperlink>
        </w:p>
        <w:p w14:paraId="096254CD" w14:textId="5D7D6288" w:rsidR="0010654D" w:rsidRDefault="00C0408C">
          <w:pPr>
            <w:pStyle w:val="TOC3"/>
            <w:tabs>
              <w:tab w:val="right" w:leader="dot" w:pos="9350"/>
            </w:tabs>
            <w:rPr>
              <w:rFonts w:eastAsiaTheme="minorEastAsia"/>
              <w:noProof/>
              <w:kern w:val="2"/>
              <w14:ligatures w14:val="standardContextual"/>
            </w:rPr>
          </w:pPr>
          <w:hyperlink w:anchor="_Toc152692019" w:history="1">
            <w:r w:rsidR="0010654D" w:rsidRPr="00D05D0D">
              <w:rPr>
                <w:rStyle w:val="Hyperlink"/>
                <w:noProof/>
              </w:rPr>
              <w:t>UAS Missions</w:t>
            </w:r>
            <w:r w:rsidR="0010654D">
              <w:rPr>
                <w:noProof/>
                <w:webHidden/>
              </w:rPr>
              <w:tab/>
            </w:r>
            <w:r w:rsidR="0010654D">
              <w:rPr>
                <w:noProof/>
                <w:webHidden/>
              </w:rPr>
              <w:fldChar w:fldCharType="begin"/>
            </w:r>
            <w:r w:rsidR="0010654D">
              <w:rPr>
                <w:noProof/>
                <w:webHidden/>
              </w:rPr>
              <w:instrText xml:space="preserve"> PAGEREF _Toc152692019 \h </w:instrText>
            </w:r>
            <w:r w:rsidR="0010654D">
              <w:rPr>
                <w:noProof/>
                <w:webHidden/>
              </w:rPr>
            </w:r>
            <w:r w:rsidR="0010654D">
              <w:rPr>
                <w:noProof/>
                <w:webHidden/>
              </w:rPr>
              <w:fldChar w:fldCharType="separate"/>
            </w:r>
            <w:r w:rsidR="0010654D">
              <w:rPr>
                <w:noProof/>
                <w:webHidden/>
              </w:rPr>
              <w:t>34</w:t>
            </w:r>
            <w:r w:rsidR="0010654D">
              <w:rPr>
                <w:noProof/>
                <w:webHidden/>
              </w:rPr>
              <w:fldChar w:fldCharType="end"/>
            </w:r>
          </w:hyperlink>
        </w:p>
        <w:p w14:paraId="1C5BE7EF" w14:textId="35FDBAC9" w:rsidR="0010654D" w:rsidRDefault="00C0408C">
          <w:pPr>
            <w:pStyle w:val="TOC1"/>
            <w:rPr>
              <w:rFonts w:asciiTheme="minorHAnsi" w:eastAsiaTheme="minorEastAsia" w:hAnsiTheme="minorHAnsi" w:cstheme="minorBidi"/>
              <w:kern w:val="2"/>
              <w:sz w:val="22"/>
              <w:szCs w:val="22"/>
              <w14:ligatures w14:val="standardContextual"/>
            </w:rPr>
          </w:pPr>
          <w:hyperlink w:anchor="_Toc152692020" w:history="1">
            <w:r w:rsidR="0010654D" w:rsidRPr="00D05D0D">
              <w:rPr>
                <w:rStyle w:val="Hyperlink"/>
              </w:rPr>
              <w:t>CHAPTER IV: RESULTS</w:t>
            </w:r>
            <w:r w:rsidR="0010654D">
              <w:rPr>
                <w:webHidden/>
              </w:rPr>
              <w:tab/>
            </w:r>
            <w:r w:rsidR="0010654D">
              <w:rPr>
                <w:webHidden/>
              </w:rPr>
              <w:fldChar w:fldCharType="begin"/>
            </w:r>
            <w:r w:rsidR="0010654D">
              <w:rPr>
                <w:webHidden/>
              </w:rPr>
              <w:instrText xml:space="preserve"> PAGEREF _Toc152692020 \h </w:instrText>
            </w:r>
            <w:r w:rsidR="0010654D">
              <w:rPr>
                <w:webHidden/>
              </w:rPr>
            </w:r>
            <w:r w:rsidR="0010654D">
              <w:rPr>
                <w:webHidden/>
              </w:rPr>
              <w:fldChar w:fldCharType="separate"/>
            </w:r>
            <w:r w:rsidR="0010654D">
              <w:rPr>
                <w:webHidden/>
              </w:rPr>
              <w:t>36</w:t>
            </w:r>
            <w:r w:rsidR="0010654D">
              <w:rPr>
                <w:webHidden/>
              </w:rPr>
              <w:fldChar w:fldCharType="end"/>
            </w:r>
          </w:hyperlink>
        </w:p>
        <w:p w14:paraId="0CDD7CCA" w14:textId="4442EAA5" w:rsidR="0010654D" w:rsidRDefault="00C0408C">
          <w:pPr>
            <w:pStyle w:val="TOC1"/>
            <w:rPr>
              <w:rFonts w:asciiTheme="minorHAnsi" w:eastAsiaTheme="minorEastAsia" w:hAnsiTheme="minorHAnsi" w:cstheme="minorBidi"/>
              <w:kern w:val="2"/>
              <w:sz w:val="22"/>
              <w:szCs w:val="22"/>
              <w14:ligatures w14:val="standardContextual"/>
            </w:rPr>
          </w:pPr>
          <w:hyperlink w:anchor="_Toc152692021" w:history="1">
            <w:r w:rsidR="0010654D" w:rsidRPr="00D05D0D">
              <w:rPr>
                <w:rStyle w:val="Hyperlink"/>
              </w:rPr>
              <w:t>CHAPTER V: UAS MISSIONS</w:t>
            </w:r>
            <w:r w:rsidR="0010654D">
              <w:rPr>
                <w:webHidden/>
              </w:rPr>
              <w:tab/>
            </w:r>
            <w:r w:rsidR="0010654D">
              <w:rPr>
                <w:webHidden/>
              </w:rPr>
              <w:fldChar w:fldCharType="begin"/>
            </w:r>
            <w:r w:rsidR="0010654D">
              <w:rPr>
                <w:webHidden/>
              </w:rPr>
              <w:instrText xml:space="preserve"> PAGEREF _Toc152692021 \h </w:instrText>
            </w:r>
            <w:r w:rsidR="0010654D">
              <w:rPr>
                <w:webHidden/>
              </w:rPr>
            </w:r>
            <w:r w:rsidR="0010654D">
              <w:rPr>
                <w:webHidden/>
              </w:rPr>
              <w:fldChar w:fldCharType="separate"/>
            </w:r>
            <w:r w:rsidR="0010654D">
              <w:rPr>
                <w:webHidden/>
              </w:rPr>
              <w:t>46</w:t>
            </w:r>
            <w:r w:rsidR="0010654D">
              <w:rPr>
                <w:webHidden/>
              </w:rPr>
              <w:fldChar w:fldCharType="end"/>
            </w:r>
          </w:hyperlink>
        </w:p>
        <w:p w14:paraId="2809175E" w14:textId="54168101" w:rsidR="0010654D" w:rsidRDefault="00C0408C">
          <w:pPr>
            <w:pStyle w:val="TOC3"/>
            <w:tabs>
              <w:tab w:val="right" w:leader="dot" w:pos="9350"/>
            </w:tabs>
            <w:rPr>
              <w:rFonts w:eastAsiaTheme="minorEastAsia"/>
              <w:noProof/>
              <w:kern w:val="2"/>
              <w14:ligatures w14:val="standardContextual"/>
            </w:rPr>
          </w:pPr>
          <w:hyperlink w:anchor="_Toc152692022" w:history="1">
            <w:r w:rsidR="0010654D" w:rsidRPr="00D05D0D">
              <w:rPr>
                <w:rStyle w:val="Hyperlink"/>
                <w:noProof/>
              </w:rPr>
              <w:t>March 7th 2023</w:t>
            </w:r>
            <w:r w:rsidR="0010654D">
              <w:rPr>
                <w:noProof/>
                <w:webHidden/>
              </w:rPr>
              <w:tab/>
            </w:r>
            <w:r w:rsidR="0010654D">
              <w:rPr>
                <w:noProof/>
                <w:webHidden/>
              </w:rPr>
              <w:fldChar w:fldCharType="begin"/>
            </w:r>
            <w:r w:rsidR="0010654D">
              <w:rPr>
                <w:noProof/>
                <w:webHidden/>
              </w:rPr>
              <w:instrText xml:space="preserve"> PAGEREF _Toc152692022 \h </w:instrText>
            </w:r>
            <w:r w:rsidR="0010654D">
              <w:rPr>
                <w:noProof/>
                <w:webHidden/>
              </w:rPr>
            </w:r>
            <w:r w:rsidR="0010654D">
              <w:rPr>
                <w:noProof/>
                <w:webHidden/>
              </w:rPr>
              <w:fldChar w:fldCharType="separate"/>
            </w:r>
            <w:r w:rsidR="0010654D">
              <w:rPr>
                <w:noProof/>
                <w:webHidden/>
              </w:rPr>
              <w:t>47</w:t>
            </w:r>
            <w:r w:rsidR="0010654D">
              <w:rPr>
                <w:noProof/>
                <w:webHidden/>
              </w:rPr>
              <w:fldChar w:fldCharType="end"/>
            </w:r>
          </w:hyperlink>
        </w:p>
        <w:p w14:paraId="7FD23DA6" w14:textId="3D9C545B" w:rsidR="0010654D" w:rsidRDefault="00C0408C">
          <w:pPr>
            <w:pStyle w:val="TOC3"/>
            <w:tabs>
              <w:tab w:val="right" w:leader="dot" w:pos="9350"/>
            </w:tabs>
            <w:rPr>
              <w:rFonts w:eastAsiaTheme="minorEastAsia"/>
              <w:noProof/>
              <w:kern w:val="2"/>
              <w14:ligatures w14:val="standardContextual"/>
            </w:rPr>
          </w:pPr>
          <w:hyperlink w:anchor="_Toc152692023" w:history="1">
            <w:r w:rsidR="0010654D" w:rsidRPr="00D05D0D">
              <w:rPr>
                <w:rStyle w:val="Hyperlink"/>
                <w:noProof/>
              </w:rPr>
              <w:t>March 13</w:t>
            </w:r>
            <w:r w:rsidR="0010654D" w:rsidRPr="00D05D0D">
              <w:rPr>
                <w:rStyle w:val="Hyperlink"/>
                <w:noProof/>
                <w:vertAlign w:val="superscript"/>
              </w:rPr>
              <w:t>th</w:t>
            </w:r>
            <w:r w:rsidR="0010654D" w:rsidRPr="00D05D0D">
              <w:rPr>
                <w:rStyle w:val="Hyperlink"/>
                <w:noProof/>
              </w:rPr>
              <w:t xml:space="preserve"> 2023</w:t>
            </w:r>
            <w:r w:rsidR="0010654D">
              <w:rPr>
                <w:noProof/>
                <w:webHidden/>
              </w:rPr>
              <w:tab/>
            </w:r>
            <w:r w:rsidR="0010654D">
              <w:rPr>
                <w:noProof/>
                <w:webHidden/>
              </w:rPr>
              <w:fldChar w:fldCharType="begin"/>
            </w:r>
            <w:r w:rsidR="0010654D">
              <w:rPr>
                <w:noProof/>
                <w:webHidden/>
              </w:rPr>
              <w:instrText xml:space="preserve"> PAGEREF _Toc152692023 \h </w:instrText>
            </w:r>
            <w:r w:rsidR="0010654D">
              <w:rPr>
                <w:noProof/>
                <w:webHidden/>
              </w:rPr>
            </w:r>
            <w:r w:rsidR="0010654D">
              <w:rPr>
                <w:noProof/>
                <w:webHidden/>
              </w:rPr>
              <w:fldChar w:fldCharType="separate"/>
            </w:r>
            <w:r w:rsidR="0010654D">
              <w:rPr>
                <w:noProof/>
                <w:webHidden/>
              </w:rPr>
              <w:t>50</w:t>
            </w:r>
            <w:r w:rsidR="0010654D">
              <w:rPr>
                <w:noProof/>
                <w:webHidden/>
              </w:rPr>
              <w:fldChar w:fldCharType="end"/>
            </w:r>
          </w:hyperlink>
        </w:p>
        <w:p w14:paraId="3F93F49A" w14:textId="7CD7A591" w:rsidR="0010654D" w:rsidRDefault="00C0408C">
          <w:pPr>
            <w:pStyle w:val="TOC3"/>
            <w:tabs>
              <w:tab w:val="right" w:leader="dot" w:pos="9350"/>
            </w:tabs>
            <w:rPr>
              <w:rFonts w:eastAsiaTheme="minorEastAsia"/>
              <w:noProof/>
              <w:kern w:val="2"/>
              <w14:ligatures w14:val="standardContextual"/>
            </w:rPr>
          </w:pPr>
          <w:hyperlink w:anchor="_Toc152692024" w:history="1">
            <w:r w:rsidR="0010654D" w:rsidRPr="00D05D0D">
              <w:rPr>
                <w:rStyle w:val="Hyperlink"/>
                <w:noProof/>
              </w:rPr>
              <w:t>March 15</w:t>
            </w:r>
            <w:r w:rsidR="0010654D" w:rsidRPr="00D05D0D">
              <w:rPr>
                <w:rStyle w:val="Hyperlink"/>
                <w:noProof/>
                <w:vertAlign w:val="superscript"/>
              </w:rPr>
              <w:t>th</w:t>
            </w:r>
            <w:r w:rsidR="0010654D" w:rsidRPr="00D05D0D">
              <w:rPr>
                <w:rStyle w:val="Hyperlink"/>
                <w:noProof/>
              </w:rPr>
              <w:t xml:space="preserve"> 2023</w:t>
            </w:r>
            <w:r w:rsidR="0010654D">
              <w:rPr>
                <w:noProof/>
                <w:webHidden/>
              </w:rPr>
              <w:tab/>
            </w:r>
            <w:r w:rsidR="0010654D">
              <w:rPr>
                <w:noProof/>
                <w:webHidden/>
              </w:rPr>
              <w:fldChar w:fldCharType="begin"/>
            </w:r>
            <w:r w:rsidR="0010654D">
              <w:rPr>
                <w:noProof/>
                <w:webHidden/>
              </w:rPr>
              <w:instrText xml:space="preserve"> PAGEREF _Toc152692024 \h </w:instrText>
            </w:r>
            <w:r w:rsidR="0010654D">
              <w:rPr>
                <w:noProof/>
                <w:webHidden/>
              </w:rPr>
            </w:r>
            <w:r w:rsidR="0010654D">
              <w:rPr>
                <w:noProof/>
                <w:webHidden/>
              </w:rPr>
              <w:fldChar w:fldCharType="separate"/>
            </w:r>
            <w:r w:rsidR="0010654D">
              <w:rPr>
                <w:noProof/>
                <w:webHidden/>
              </w:rPr>
              <w:t>58</w:t>
            </w:r>
            <w:r w:rsidR="0010654D">
              <w:rPr>
                <w:noProof/>
                <w:webHidden/>
              </w:rPr>
              <w:fldChar w:fldCharType="end"/>
            </w:r>
          </w:hyperlink>
        </w:p>
        <w:p w14:paraId="2A1B95FB" w14:textId="170F4EFA" w:rsidR="0010654D" w:rsidRDefault="00C0408C">
          <w:pPr>
            <w:pStyle w:val="TOC3"/>
            <w:tabs>
              <w:tab w:val="right" w:leader="dot" w:pos="9350"/>
            </w:tabs>
            <w:rPr>
              <w:rFonts w:eastAsiaTheme="minorEastAsia"/>
              <w:noProof/>
              <w:kern w:val="2"/>
              <w14:ligatures w14:val="standardContextual"/>
            </w:rPr>
          </w:pPr>
          <w:hyperlink w:anchor="_Toc152692025" w:history="1">
            <w:r w:rsidR="0010654D" w:rsidRPr="00D05D0D">
              <w:rPr>
                <w:rStyle w:val="Hyperlink"/>
                <w:noProof/>
              </w:rPr>
              <w:t>March 23</w:t>
            </w:r>
            <w:r w:rsidR="0010654D" w:rsidRPr="00D05D0D">
              <w:rPr>
                <w:rStyle w:val="Hyperlink"/>
                <w:noProof/>
                <w:vertAlign w:val="superscript"/>
              </w:rPr>
              <w:t>rd</w:t>
            </w:r>
            <w:r w:rsidR="0010654D" w:rsidRPr="00D05D0D">
              <w:rPr>
                <w:rStyle w:val="Hyperlink"/>
                <w:noProof/>
              </w:rPr>
              <w:t xml:space="preserve"> 2023</w:t>
            </w:r>
            <w:r w:rsidR="0010654D">
              <w:rPr>
                <w:noProof/>
                <w:webHidden/>
              </w:rPr>
              <w:tab/>
            </w:r>
            <w:r w:rsidR="0010654D">
              <w:rPr>
                <w:noProof/>
                <w:webHidden/>
              </w:rPr>
              <w:fldChar w:fldCharType="begin"/>
            </w:r>
            <w:r w:rsidR="0010654D">
              <w:rPr>
                <w:noProof/>
                <w:webHidden/>
              </w:rPr>
              <w:instrText xml:space="preserve"> PAGEREF _Toc152692025 \h </w:instrText>
            </w:r>
            <w:r w:rsidR="0010654D">
              <w:rPr>
                <w:noProof/>
                <w:webHidden/>
              </w:rPr>
            </w:r>
            <w:r w:rsidR="0010654D">
              <w:rPr>
                <w:noProof/>
                <w:webHidden/>
              </w:rPr>
              <w:fldChar w:fldCharType="separate"/>
            </w:r>
            <w:r w:rsidR="0010654D">
              <w:rPr>
                <w:noProof/>
                <w:webHidden/>
              </w:rPr>
              <w:t>62</w:t>
            </w:r>
            <w:r w:rsidR="0010654D">
              <w:rPr>
                <w:noProof/>
                <w:webHidden/>
              </w:rPr>
              <w:fldChar w:fldCharType="end"/>
            </w:r>
          </w:hyperlink>
        </w:p>
        <w:p w14:paraId="7F559672" w14:textId="7C1710BC" w:rsidR="0010654D" w:rsidRDefault="00C0408C">
          <w:pPr>
            <w:pStyle w:val="TOC3"/>
            <w:tabs>
              <w:tab w:val="right" w:leader="dot" w:pos="9350"/>
            </w:tabs>
            <w:rPr>
              <w:rFonts w:eastAsiaTheme="minorEastAsia"/>
              <w:noProof/>
              <w:kern w:val="2"/>
              <w14:ligatures w14:val="standardContextual"/>
            </w:rPr>
          </w:pPr>
          <w:hyperlink w:anchor="_Toc152692026" w:history="1">
            <w:r w:rsidR="0010654D" w:rsidRPr="00D05D0D">
              <w:rPr>
                <w:rStyle w:val="Hyperlink"/>
                <w:noProof/>
              </w:rPr>
              <w:t>March 24</w:t>
            </w:r>
            <w:r w:rsidR="0010654D" w:rsidRPr="00D05D0D">
              <w:rPr>
                <w:rStyle w:val="Hyperlink"/>
                <w:noProof/>
                <w:vertAlign w:val="superscript"/>
              </w:rPr>
              <w:t>th</w:t>
            </w:r>
            <w:r w:rsidR="0010654D" w:rsidRPr="00D05D0D">
              <w:rPr>
                <w:rStyle w:val="Hyperlink"/>
                <w:noProof/>
              </w:rPr>
              <w:t xml:space="preserve"> 2023</w:t>
            </w:r>
            <w:r w:rsidR="0010654D">
              <w:rPr>
                <w:noProof/>
                <w:webHidden/>
              </w:rPr>
              <w:tab/>
            </w:r>
            <w:r w:rsidR="0010654D">
              <w:rPr>
                <w:noProof/>
                <w:webHidden/>
              </w:rPr>
              <w:fldChar w:fldCharType="begin"/>
            </w:r>
            <w:r w:rsidR="0010654D">
              <w:rPr>
                <w:noProof/>
                <w:webHidden/>
              </w:rPr>
              <w:instrText xml:space="preserve"> PAGEREF _Toc152692026 \h </w:instrText>
            </w:r>
            <w:r w:rsidR="0010654D">
              <w:rPr>
                <w:noProof/>
                <w:webHidden/>
              </w:rPr>
            </w:r>
            <w:r w:rsidR="0010654D">
              <w:rPr>
                <w:noProof/>
                <w:webHidden/>
              </w:rPr>
              <w:fldChar w:fldCharType="separate"/>
            </w:r>
            <w:r w:rsidR="0010654D">
              <w:rPr>
                <w:noProof/>
                <w:webHidden/>
              </w:rPr>
              <w:t>66</w:t>
            </w:r>
            <w:r w:rsidR="0010654D">
              <w:rPr>
                <w:noProof/>
                <w:webHidden/>
              </w:rPr>
              <w:fldChar w:fldCharType="end"/>
            </w:r>
          </w:hyperlink>
        </w:p>
        <w:p w14:paraId="11799292" w14:textId="2E87C543" w:rsidR="0010654D" w:rsidRDefault="00C0408C">
          <w:pPr>
            <w:pStyle w:val="TOC1"/>
            <w:rPr>
              <w:rFonts w:asciiTheme="minorHAnsi" w:eastAsiaTheme="minorEastAsia" w:hAnsiTheme="minorHAnsi" w:cstheme="minorBidi"/>
              <w:kern w:val="2"/>
              <w:sz w:val="22"/>
              <w:szCs w:val="22"/>
              <w14:ligatures w14:val="standardContextual"/>
            </w:rPr>
          </w:pPr>
          <w:hyperlink w:anchor="_Toc152692027" w:history="1">
            <w:r w:rsidR="0010654D" w:rsidRPr="00D05D0D">
              <w:rPr>
                <w:rStyle w:val="Hyperlink"/>
              </w:rPr>
              <w:t>CHAPTER VI: DISCUSSION</w:t>
            </w:r>
            <w:r w:rsidR="0010654D">
              <w:rPr>
                <w:webHidden/>
              </w:rPr>
              <w:tab/>
            </w:r>
            <w:r w:rsidR="0010654D">
              <w:rPr>
                <w:webHidden/>
              </w:rPr>
              <w:fldChar w:fldCharType="begin"/>
            </w:r>
            <w:r w:rsidR="0010654D">
              <w:rPr>
                <w:webHidden/>
              </w:rPr>
              <w:instrText xml:space="preserve"> PAGEREF _Toc152692027 \h </w:instrText>
            </w:r>
            <w:r w:rsidR="0010654D">
              <w:rPr>
                <w:webHidden/>
              </w:rPr>
            </w:r>
            <w:r w:rsidR="0010654D">
              <w:rPr>
                <w:webHidden/>
              </w:rPr>
              <w:fldChar w:fldCharType="separate"/>
            </w:r>
            <w:r w:rsidR="0010654D">
              <w:rPr>
                <w:webHidden/>
              </w:rPr>
              <w:t>71</w:t>
            </w:r>
            <w:r w:rsidR="0010654D">
              <w:rPr>
                <w:webHidden/>
              </w:rPr>
              <w:fldChar w:fldCharType="end"/>
            </w:r>
          </w:hyperlink>
        </w:p>
        <w:p w14:paraId="7FF8A7F4" w14:textId="1B3A5A2C" w:rsidR="0010654D" w:rsidRDefault="00C0408C">
          <w:pPr>
            <w:pStyle w:val="TOC1"/>
            <w:rPr>
              <w:rFonts w:asciiTheme="minorHAnsi" w:eastAsiaTheme="minorEastAsia" w:hAnsiTheme="minorHAnsi" w:cstheme="minorBidi"/>
              <w:kern w:val="2"/>
              <w:sz w:val="22"/>
              <w:szCs w:val="22"/>
              <w14:ligatures w14:val="standardContextual"/>
            </w:rPr>
          </w:pPr>
          <w:hyperlink w:anchor="_Toc152692028" w:history="1">
            <w:r w:rsidR="0010654D" w:rsidRPr="00D05D0D">
              <w:rPr>
                <w:rStyle w:val="Hyperlink"/>
              </w:rPr>
              <w:t>CHAPTER VII: SUMMARY AND CONCLUSIONS</w:t>
            </w:r>
            <w:r w:rsidR="0010654D">
              <w:rPr>
                <w:webHidden/>
              </w:rPr>
              <w:tab/>
            </w:r>
            <w:r w:rsidR="0010654D">
              <w:rPr>
                <w:webHidden/>
              </w:rPr>
              <w:fldChar w:fldCharType="begin"/>
            </w:r>
            <w:r w:rsidR="0010654D">
              <w:rPr>
                <w:webHidden/>
              </w:rPr>
              <w:instrText xml:space="preserve"> PAGEREF _Toc152692028 \h </w:instrText>
            </w:r>
            <w:r w:rsidR="0010654D">
              <w:rPr>
                <w:webHidden/>
              </w:rPr>
            </w:r>
            <w:r w:rsidR="0010654D">
              <w:rPr>
                <w:webHidden/>
              </w:rPr>
              <w:fldChar w:fldCharType="separate"/>
            </w:r>
            <w:r w:rsidR="0010654D">
              <w:rPr>
                <w:webHidden/>
              </w:rPr>
              <w:t>80</w:t>
            </w:r>
            <w:r w:rsidR="0010654D">
              <w:rPr>
                <w:webHidden/>
              </w:rPr>
              <w:fldChar w:fldCharType="end"/>
            </w:r>
          </w:hyperlink>
        </w:p>
        <w:p w14:paraId="01502F56" w14:textId="2C75166A" w:rsidR="0010654D" w:rsidRDefault="00C0408C">
          <w:pPr>
            <w:pStyle w:val="TOC1"/>
            <w:rPr>
              <w:rFonts w:asciiTheme="minorHAnsi" w:eastAsiaTheme="minorEastAsia" w:hAnsiTheme="minorHAnsi" w:cstheme="minorBidi"/>
              <w:kern w:val="2"/>
              <w:sz w:val="22"/>
              <w:szCs w:val="22"/>
              <w14:ligatures w14:val="standardContextual"/>
            </w:rPr>
          </w:pPr>
          <w:hyperlink w:anchor="_Toc152692029" w:history="1">
            <w:r w:rsidR="0010654D" w:rsidRPr="00D05D0D">
              <w:rPr>
                <w:rStyle w:val="Hyperlink"/>
              </w:rPr>
              <w:t>REFERENCES</w:t>
            </w:r>
            <w:r w:rsidR="0010654D">
              <w:rPr>
                <w:webHidden/>
              </w:rPr>
              <w:tab/>
            </w:r>
            <w:r w:rsidR="0010654D">
              <w:rPr>
                <w:webHidden/>
              </w:rPr>
              <w:fldChar w:fldCharType="begin"/>
            </w:r>
            <w:r w:rsidR="0010654D">
              <w:rPr>
                <w:webHidden/>
              </w:rPr>
              <w:instrText xml:space="preserve"> PAGEREF _Toc152692029 \h </w:instrText>
            </w:r>
            <w:r w:rsidR="0010654D">
              <w:rPr>
                <w:webHidden/>
              </w:rPr>
            </w:r>
            <w:r w:rsidR="0010654D">
              <w:rPr>
                <w:webHidden/>
              </w:rPr>
              <w:fldChar w:fldCharType="separate"/>
            </w:r>
            <w:r w:rsidR="0010654D">
              <w:rPr>
                <w:webHidden/>
              </w:rPr>
              <w:t>82</w:t>
            </w:r>
            <w:r w:rsidR="0010654D">
              <w:rPr>
                <w:webHidden/>
              </w:rPr>
              <w:fldChar w:fldCharType="end"/>
            </w:r>
          </w:hyperlink>
        </w:p>
        <w:p w14:paraId="68EBE2C1" w14:textId="7C3494BC" w:rsidR="00D92968" w:rsidRDefault="00D92968">
          <w:r w:rsidRPr="00D93191">
            <w:rPr>
              <w:rFonts w:ascii="Times New Roman" w:hAnsi="Times New Roman" w:cs="Times New Roman"/>
              <w:noProof/>
              <w:sz w:val="24"/>
              <w:szCs w:val="24"/>
            </w:rPr>
            <w:fldChar w:fldCharType="end"/>
          </w:r>
        </w:p>
      </w:sdtContent>
    </w:sdt>
    <w:p w14:paraId="2C855C63" w14:textId="77777777" w:rsidR="0010654D" w:rsidRDefault="00FC3572" w:rsidP="00F4314A">
      <w:pPr>
        <w:pStyle w:val="Heading1"/>
        <w:ind w:left="0" w:firstLine="0"/>
        <w:rPr>
          <w:noProof/>
        </w:rPr>
      </w:pPr>
      <w:r>
        <w:br w:type="page"/>
      </w:r>
      <w:bookmarkStart w:id="1" w:name="_Toc152692004"/>
      <w:r w:rsidR="004C00FB">
        <w:lastRenderedPageBreak/>
        <w:t>LIST OF FIGURES</w:t>
      </w:r>
      <w:bookmarkEnd w:id="1"/>
      <w:r w:rsidR="00F930A5">
        <w:fldChar w:fldCharType="begin"/>
      </w:r>
      <w:r w:rsidR="00F930A5">
        <w:instrText xml:space="preserve"> TOC \h \z \c "Figure" </w:instrText>
      </w:r>
      <w:r w:rsidR="00F930A5">
        <w:fldChar w:fldCharType="separate"/>
      </w:r>
    </w:p>
    <w:p w14:paraId="13360029" w14:textId="73C3680B"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30" w:history="1">
        <w:r w:rsidR="0010654D" w:rsidRPr="00F61883">
          <w:rPr>
            <w:rStyle w:val="Hyperlink"/>
          </w:rPr>
          <w:t>Figure 1. Image showing the conceptual model for conducting a supercooled fog dispersal project utilizing UAV technology.</w:t>
        </w:r>
        <w:r w:rsidR="0010654D">
          <w:rPr>
            <w:webHidden/>
          </w:rPr>
          <w:tab/>
        </w:r>
        <w:r w:rsidR="0010654D">
          <w:rPr>
            <w:webHidden/>
          </w:rPr>
          <w:fldChar w:fldCharType="begin"/>
        </w:r>
        <w:r w:rsidR="0010654D">
          <w:rPr>
            <w:webHidden/>
          </w:rPr>
          <w:instrText xml:space="preserve"> PAGEREF _Toc152692030 \h </w:instrText>
        </w:r>
        <w:r w:rsidR="0010654D">
          <w:rPr>
            <w:webHidden/>
          </w:rPr>
        </w:r>
        <w:r w:rsidR="0010654D">
          <w:rPr>
            <w:webHidden/>
          </w:rPr>
          <w:fldChar w:fldCharType="separate"/>
        </w:r>
        <w:r w:rsidR="0010654D">
          <w:rPr>
            <w:webHidden/>
          </w:rPr>
          <w:t>17</w:t>
        </w:r>
        <w:r w:rsidR="0010654D">
          <w:rPr>
            <w:webHidden/>
          </w:rPr>
          <w:fldChar w:fldCharType="end"/>
        </w:r>
      </w:hyperlink>
    </w:p>
    <w:p w14:paraId="19B0CF3B" w14:textId="282F3512"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31" w:history="1">
        <w:r w:rsidR="0010654D" w:rsidRPr="00F61883">
          <w:rPr>
            <w:rStyle w:val="Hyperlink"/>
          </w:rPr>
          <w:t>Figure 2. Aerial view of Ice Crystal Engineering in Kindred, North Dakota. FAA approved airspace for UAV missions is located to the south of building headquarters, with a tripod of instrumentation located to the west of building headquarters.</w:t>
        </w:r>
        <w:r w:rsidR="0010654D">
          <w:rPr>
            <w:webHidden/>
          </w:rPr>
          <w:tab/>
        </w:r>
        <w:r w:rsidR="0010654D">
          <w:rPr>
            <w:webHidden/>
          </w:rPr>
          <w:fldChar w:fldCharType="begin"/>
        </w:r>
        <w:r w:rsidR="0010654D">
          <w:rPr>
            <w:webHidden/>
          </w:rPr>
          <w:instrText xml:space="preserve"> PAGEREF _Toc152692031 \h </w:instrText>
        </w:r>
        <w:r w:rsidR="0010654D">
          <w:rPr>
            <w:webHidden/>
          </w:rPr>
        </w:r>
        <w:r w:rsidR="0010654D">
          <w:rPr>
            <w:webHidden/>
          </w:rPr>
          <w:fldChar w:fldCharType="separate"/>
        </w:r>
        <w:r w:rsidR="0010654D">
          <w:rPr>
            <w:webHidden/>
          </w:rPr>
          <w:t>23</w:t>
        </w:r>
        <w:r w:rsidR="0010654D">
          <w:rPr>
            <w:webHidden/>
          </w:rPr>
          <w:fldChar w:fldCharType="end"/>
        </w:r>
      </w:hyperlink>
    </w:p>
    <w:p w14:paraId="2F0AD5F6" w14:textId="2A05CF20"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32" w:history="1">
        <w:r w:rsidR="0010654D" w:rsidRPr="00F61883">
          <w:rPr>
            <w:rStyle w:val="Hyperlink"/>
          </w:rPr>
          <w:t>Figure 3. A schematic representing the wiring and components of the UAV-based, atmospheric measurements system. A Raspberry Pi 4B computer records and stores instrument data through RS-232 serial transmission using a USB interface to the Raspberry Pi.  A real-time clock module (model DS3231) attached to the Raspberry Pi 4B provides internal time synchronization during UAV missions when the Raspberry Pi 4B is disconnected from an internet source.  The 3.7-volt input from the battery is transformed to a 5-volt output required for the Raspberry Pi 4B motherboard via the expansion board. Power for the IMet-XQ2 is provided via USB connection to the Raspberry Pi 4B. A separate rechargeable 12-volt battery powers the MiniOFS. Wiring connecting the instruments to the Raspberry Pi 4B within the UAV body utilizes a gap on the underside of the UAV frame.</w:t>
        </w:r>
        <w:r w:rsidR="0010654D">
          <w:rPr>
            <w:webHidden/>
          </w:rPr>
          <w:tab/>
        </w:r>
        <w:r w:rsidR="0010654D">
          <w:rPr>
            <w:webHidden/>
          </w:rPr>
          <w:fldChar w:fldCharType="begin"/>
        </w:r>
        <w:r w:rsidR="0010654D">
          <w:rPr>
            <w:webHidden/>
          </w:rPr>
          <w:instrText xml:space="preserve"> PAGEREF _Toc152692032 \h </w:instrText>
        </w:r>
        <w:r w:rsidR="0010654D">
          <w:rPr>
            <w:webHidden/>
          </w:rPr>
        </w:r>
        <w:r w:rsidR="0010654D">
          <w:rPr>
            <w:webHidden/>
          </w:rPr>
          <w:fldChar w:fldCharType="separate"/>
        </w:r>
        <w:r w:rsidR="0010654D">
          <w:rPr>
            <w:webHidden/>
          </w:rPr>
          <w:t>24</w:t>
        </w:r>
        <w:r w:rsidR="0010654D">
          <w:rPr>
            <w:webHidden/>
          </w:rPr>
          <w:fldChar w:fldCharType="end"/>
        </w:r>
      </w:hyperlink>
    </w:p>
    <w:p w14:paraId="4DBF1BCD" w14:textId="43E2FCBB"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33" w:history="1">
        <w:r w:rsidR="0010654D" w:rsidRPr="00F61883">
          <w:rPr>
            <w:rStyle w:val="Hyperlink"/>
          </w:rPr>
          <w:t>Figure 4. A picture showing the internal body of the UAV. The four lithium-ion batteries are displayed in silver, with the internal instrumentation/electrical components placed on top for image visualization. Normally, the internal wiring/electrical components are stored within the gaps of the UAV frame around the lithium-ion batteries.</w:t>
        </w:r>
        <w:r w:rsidR="0010654D">
          <w:rPr>
            <w:webHidden/>
          </w:rPr>
          <w:tab/>
        </w:r>
        <w:r w:rsidR="0010654D">
          <w:rPr>
            <w:webHidden/>
          </w:rPr>
          <w:fldChar w:fldCharType="begin"/>
        </w:r>
        <w:r w:rsidR="0010654D">
          <w:rPr>
            <w:webHidden/>
          </w:rPr>
          <w:instrText xml:space="preserve"> PAGEREF _Toc152692033 \h </w:instrText>
        </w:r>
        <w:r w:rsidR="0010654D">
          <w:rPr>
            <w:webHidden/>
          </w:rPr>
        </w:r>
        <w:r w:rsidR="0010654D">
          <w:rPr>
            <w:webHidden/>
          </w:rPr>
          <w:fldChar w:fldCharType="separate"/>
        </w:r>
        <w:r w:rsidR="0010654D">
          <w:rPr>
            <w:webHidden/>
          </w:rPr>
          <w:t>25</w:t>
        </w:r>
        <w:r w:rsidR="0010654D">
          <w:rPr>
            <w:webHidden/>
          </w:rPr>
          <w:fldChar w:fldCharType="end"/>
        </w:r>
      </w:hyperlink>
    </w:p>
    <w:p w14:paraId="379A74B8" w14:textId="40A7598A"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34" w:history="1">
        <w:r w:rsidR="0010654D" w:rsidRPr="00F61883">
          <w:rPr>
            <w:rStyle w:val="Hyperlink"/>
          </w:rPr>
          <w:t>Figure 5. A picture of the ground-based tripod of instrumentation. The IMet-XQ2 is located in black underneath the radiation sensor on the left side. The Young Anemometer is located at the top of the tripod. The MiniOFS is located at the front of the camera box, outside of view.</w:t>
        </w:r>
        <w:r w:rsidR="0010654D">
          <w:rPr>
            <w:webHidden/>
          </w:rPr>
          <w:tab/>
        </w:r>
        <w:r w:rsidR="0010654D">
          <w:rPr>
            <w:webHidden/>
          </w:rPr>
          <w:fldChar w:fldCharType="begin"/>
        </w:r>
        <w:r w:rsidR="0010654D">
          <w:rPr>
            <w:webHidden/>
          </w:rPr>
          <w:instrText xml:space="preserve"> PAGEREF _Toc152692034 \h </w:instrText>
        </w:r>
        <w:r w:rsidR="0010654D">
          <w:rPr>
            <w:webHidden/>
          </w:rPr>
        </w:r>
        <w:r w:rsidR="0010654D">
          <w:rPr>
            <w:webHidden/>
          </w:rPr>
          <w:fldChar w:fldCharType="separate"/>
        </w:r>
        <w:r w:rsidR="0010654D">
          <w:rPr>
            <w:webHidden/>
          </w:rPr>
          <w:t>27</w:t>
        </w:r>
        <w:r w:rsidR="0010654D">
          <w:rPr>
            <w:webHidden/>
          </w:rPr>
          <w:fldChar w:fldCharType="end"/>
        </w:r>
      </w:hyperlink>
    </w:p>
    <w:p w14:paraId="3B7C8A3D" w14:textId="1C04AE57"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35" w:history="1">
        <w:r w:rsidR="0010654D" w:rsidRPr="00F61883">
          <w:rPr>
            <w:rStyle w:val="Hyperlink"/>
          </w:rPr>
          <w:t>Figure 6. Diagram showing the components of the tripod station. The IMet-XQ2 is situated within a radiation shield to protect the temperature and relative humidity sensors from moisture contamination and direct sunlight. Wind direction and wind speed are measured by an R.M. Young Anemometer (model 05103-5). A Raspberry Pi 4B computer records and stores instrument data. A KuWFi wireless bridge (KuWFi Technology Co., Ltd) provides internet to the Raspberry Pi 4B computer on the tripod The ‘master’ half of the KuWFi bridge is located near a westward facing window within ICE building headquarters and is designated to the upper-left of the dashed blue line.</w:t>
        </w:r>
        <w:r w:rsidR="0010654D">
          <w:rPr>
            <w:webHidden/>
          </w:rPr>
          <w:tab/>
        </w:r>
        <w:r w:rsidR="0010654D">
          <w:rPr>
            <w:webHidden/>
          </w:rPr>
          <w:fldChar w:fldCharType="begin"/>
        </w:r>
        <w:r w:rsidR="0010654D">
          <w:rPr>
            <w:webHidden/>
          </w:rPr>
          <w:instrText xml:space="preserve"> PAGEREF _Toc152692035 \h </w:instrText>
        </w:r>
        <w:r w:rsidR="0010654D">
          <w:rPr>
            <w:webHidden/>
          </w:rPr>
        </w:r>
        <w:r w:rsidR="0010654D">
          <w:rPr>
            <w:webHidden/>
          </w:rPr>
          <w:fldChar w:fldCharType="separate"/>
        </w:r>
        <w:r w:rsidR="0010654D">
          <w:rPr>
            <w:webHidden/>
          </w:rPr>
          <w:t>28</w:t>
        </w:r>
        <w:r w:rsidR="0010654D">
          <w:rPr>
            <w:webHidden/>
          </w:rPr>
          <w:fldChar w:fldCharType="end"/>
        </w:r>
      </w:hyperlink>
    </w:p>
    <w:p w14:paraId="33D0265F" w14:textId="5A2C841F"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36" w:history="1">
        <w:r w:rsidR="0010654D" w:rsidRPr="00F61883">
          <w:rPr>
            <w:rStyle w:val="Hyperlink"/>
          </w:rPr>
          <w:t>Figure 7. A topographic map of the Red River Valley of eastern North Dakota and western Minnesota. Locations designated by a red dot comprise a 30-year climatological analysis and include Grand Forks International Airport (KGFK), Grand Forks Air Force Base (KRDR), Hector International Airport (KFAR), and Jamestown Regional Airport (KJMS). The location designated by a black dot represents Ice Crystal Engineering headquarters (ICE) and is the location of permissible Federal Aviation Administration airspace for low visibility flights utilizing unmanned aircraft vehicles. The three east-west oriented, black-dotted lines represent cross-sections visualized in Figure 6. Topographic data is provided by the United States Geologic Survey.</w:t>
        </w:r>
        <w:r w:rsidR="0010654D">
          <w:rPr>
            <w:webHidden/>
          </w:rPr>
          <w:tab/>
        </w:r>
        <w:r w:rsidR="0010654D">
          <w:rPr>
            <w:webHidden/>
          </w:rPr>
          <w:fldChar w:fldCharType="begin"/>
        </w:r>
        <w:r w:rsidR="0010654D">
          <w:rPr>
            <w:webHidden/>
          </w:rPr>
          <w:instrText xml:space="preserve"> PAGEREF _Toc152692036 \h </w:instrText>
        </w:r>
        <w:r w:rsidR="0010654D">
          <w:rPr>
            <w:webHidden/>
          </w:rPr>
        </w:r>
        <w:r w:rsidR="0010654D">
          <w:rPr>
            <w:webHidden/>
          </w:rPr>
          <w:fldChar w:fldCharType="separate"/>
        </w:r>
        <w:r w:rsidR="0010654D">
          <w:rPr>
            <w:webHidden/>
          </w:rPr>
          <w:t>31</w:t>
        </w:r>
        <w:r w:rsidR="0010654D">
          <w:rPr>
            <w:webHidden/>
          </w:rPr>
          <w:fldChar w:fldCharType="end"/>
        </w:r>
      </w:hyperlink>
    </w:p>
    <w:p w14:paraId="535CC6AE" w14:textId="00792682"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37" w:history="1">
        <w:r w:rsidR="0010654D" w:rsidRPr="00F61883">
          <w:rPr>
            <w:rStyle w:val="Hyperlink"/>
          </w:rPr>
          <w:t>Figure 8. Three east-west topographic cross-sections located at the dotted lines in Fig. 2. The cross-section latitudes (top to bottom) are centered at Grand Forks International Airport (GFK) 47.9429°N, Hector International Airport (FAR) 46.9218°N, and Jamestown Regional Airport (JMS) 46.6784°N. The latitudes of RDR and JMS, while not identical to those of GFK and FAR respectively, are close enough to be represented as approximate locations.</w:t>
        </w:r>
        <w:r w:rsidR="0010654D">
          <w:rPr>
            <w:webHidden/>
          </w:rPr>
          <w:tab/>
        </w:r>
        <w:r w:rsidR="0010654D">
          <w:rPr>
            <w:webHidden/>
          </w:rPr>
          <w:fldChar w:fldCharType="begin"/>
        </w:r>
        <w:r w:rsidR="0010654D">
          <w:rPr>
            <w:webHidden/>
          </w:rPr>
          <w:instrText xml:space="preserve"> PAGEREF _Toc152692037 \h </w:instrText>
        </w:r>
        <w:r w:rsidR="0010654D">
          <w:rPr>
            <w:webHidden/>
          </w:rPr>
        </w:r>
        <w:r w:rsidR="0010654D">
          <w:rPr>
            <w:webHidden/>
          </w:rPr>
          <w:fldChar w:fldCharType="separate"/>
        </w:r>
        <w:r w:rsidR="0010654D">
          <w:rPr>
            <w:webHidden/>
          </w:rPr>
          <w:t>32</w:t>
        </w:r>
        <w:r w:rsidR="0010654D">
          <w:rPr>
            <w:webHidden/>
          </w:rPr>
          <w:fldChar w:fldCharType="end"/>
        </w:r>
      </w:hyperlink>
    </w:p>
    <w:p w14:paraId="293ED595" w14:textId="23416927"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38" w:history="1">
        <w:r w:rsidR="0010654D" w:rsidRPr="00F61883">
          <w:rPr>
            <w:rStyle w:val="Hyperlink"/>
          </w:rPr>
          <w:t>Figure 9. Hourly probability heatmap plots showing the amount of mist and/or fog at Grand International Airport (KGFK), Hector International Airport (KFAR), Grand Forks Air Force Base (KRDR), and Jamestown Regional Airport (KJMS) from 1989-2019.</w:t>
        </w:r>
        <w:r w:rsidR="0010654D">
          <w:rPr>
            <w:webHidden/>
          </w:rPr>
          <w:tab/>
        </w:r>
        <w:r w:rsidR="0010654D">
          <w:rPr>
            <w:webHidden/>
          </w:rPr>
          <w:fldChar w:fldCharType="begin"/>
        </w:r>
        <w:r w:rsidR="0010654D">
          <w:rPr>
            <w:webHidden/>
          </w:rPr>
          <w:instrText xml:space="preserve"> PAGEREF _Toc152692038 \h </w:instrText>
        </w:r>
        <w:r w:rsidR="0010654D">
          <w:rPr>
            <w:webHidden/>
          </w:rPr>
        </w:r>
        <w:r w:rsidR="0010654D">
          <w:rPr>
            <w:webHidden/>
          </w:rPr>
          <w:fldChar w:fldCharType="separate"/>
        </w:r>
        <w:r w:rsidR="0010654D">
          <w:rPr>
            <w:webHidden/>
          </w:rPr>
          <w:t>37</w:t>
        </w:r>
        <w:r w:rsidR="0010654D">
          <w:rPr>
            <w:webHidden/>
          </w:rPr>
          <w:fldChar w:fldCharType="end"/>
        </w:r>
      </w:hyperlink>
    </w:p>
    <w:p w14:paraId="6A947CD5" w14:textId="414C0984"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39" w:history="1">
        <w:r w:rsidR="0010654D" w:rsidRPr="00F61883">
          <w:rPr>
            <w:rStyle w:val="Hyperlink"/>
          </w:rPr>
          <w:t>Figure 10. Heatmap plots using the same format as Figure 7 but filtered to remove wind speeds below 10 m/s.</w:t>
        </w:r>
        <w:r w:rsidR="0010654D">
          <w:rPr>
            <w:webHidden/>
          </w:rPr>
          <w:tab/>
        </w:r>
        <w:r w:rsidR="0010654D">
          <w:rPr>
            <w:webHidden/>
          </w:rPr>
          <w:fldChar w:fldCharType="begin"/>
        </w:r>
        <w:r w:rsidR="0010654D">
          <w:rPr>
            <w:webHidden/>
          </w:rPr>
          <w:instrText xml:space="preserve"> PAGEREF _Toc152692039 \h </w:instrText>
        </w:r>
        <w:r w:rsidR="0010654D">
          <w:rPr>
            <w:webHidden/>
          </w:rPr>
        </w:r>
        <w:r w:rsidR="0010654D">
          <w:rPr>
            <w:webHidden/>
          </w:rPr>
          <w:fldChar w:fldCharType="separate"/>
        </w:r>
        <w:r w:rsidR="0010654D">
          <w:rPr>
            <w:webHidden/>
          </w:rPr>
          <w:t>38</w:t>
        </w:r>
        <w:r w:rsidR="0010654D">
          <w:rPr>
            <w:webHidden/>
          </w:rPr>
          <w:fldChar w:fldCharType="end"/>
        </w:r>
      </w:hyperlink>
    </w:p>
    <w:p w14:paraId="5D85F110" w14:textId="38BB0E9C"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40" w:history="1">
        <w:r w:rsidR="0010654D" w:rsidRPr="00F61883">
          <w:rPr>
            <w:rStyle w:val="Hyperlink"/>
          </w:rPr>
          <w:t>Figure 11. Heatmap plots using the same format as Figure 8, but with temperatures below 0 °C.</w:t>
        </w:r>
        <w:r w:rsidR="0010654D">
          <w:rPr>
            <w:webHidden/>
          </w:rPr>
          <w:tab/>
        </w:r>
        <w:r w:rsidR="0010654D">
          <w:rPr>
            <w:webHidden/>
          </w:rPr>
          <w:fldChar w:fldCharType="begin"/>
        </w:r>
        <w:r w:rsidR="0010654D">
          <w:rPr>
            <w:webHidden/>
          </w:rPr>
          <w:instrText xml:space="preserve"> PAGEREF _Toc152692040 \h </w:instrText>
        </w:r>
        <w:r w:rsidR="0010654D">
          <w:rPr>
            <w:webHidden/>
          </w:rPr>
        </w:r>
        <w:r w:rsidR="0010654D">
          <w:rPr>
            <w:webHidden/>
          </w:rPr>
          <w:fldChar w:fldCharType="separate"/>
        </w:r>
        <w:r w:rsidR="0010654D">
          <w:rPr>
            <w:webHidden/>
          </w:rPr>
          <w:t>39</w:t>
        </w:r>
        <w:r w:rsidR="0010654D">
          <w:rPr>
            <w:webHidden/>
          </w:rPr>
          <w:fldChar w:fldCharType="end"/>
        </w:r>
      </w:hyperlink>
    </w:p>
    <w:p w14:paraId="767DCC0D" w14:textId="1CE72272"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41" w:history="1">
        <w:r w:rsidR="0010654D" w:rsidRPr="00F61883">
          <w:rPr>
            <w:rStyle w:val="Hyperlink"/>
          </w:rPr>
          <w:t>Figure 12. A panel of linear regression plots comparing the IMet-XQ2 Temperature vs. WXT536 (left) and CS125 (right) temperature sensors with secondary plots of residuals. Statistics of the regression are displayed in the bottom left panel of each panel within the respective regression plot. From top to bottom: best-fit regression line (</w:t>
        </w:r>
        <m:oMath>
          <m:r>
            <w:rPr>
              <w:rStyle w:val="Hyperlink"/>
              <w:rFonts w:ascii="Cambria Math" w:hAnsi="Cambria Math"/>
            </w:rPr>
            <m:t>y</m:t>
          </m:r>
        </m:oMath>
        <w:r w:rsidR="0010654D" w:rsidRPr="00F61883">
          <w:rPr>
            <w:rStyle w:val="Hyperlink"/>
          </w:rPr>
          <w:t>), coefficient of determination (</w:t>
        </w:r>
        <m:oMath>
          <m:r>
            <w:rPr>
              <w:rStyle w:val="Hyperlink"/>
              <w:rFonts w:ascii="Cambria Math" w:hAnsi="Cambria Math"/>
            </w:rPr>
            <m:t>r2</m:t>
          </m:r>
        </m:oMath>
        <w:r w:rsidR="0010654D" w:rsidRPr="00F61883">
          <w:rPr>
            <w:rStyle w:val="Hyperlink"/>
          </w:rPr>
          <w:t>), and standard error (</w:t>
        </w:r>
        <m:oMath>
          <m:r>
            <w:rPr>
              <w:rStyle w:val="Hyperlink"/>
              <w:rFonts w:ascii="Cambria Math" w:hAnsi="Cambria Math"/>
            </w:rPr>
            <m:t>SE</m:t>
          </m:r>
        </m:oMath>
        <w:r w:rsidR="0010654D" w:rsidRPr="00F61883">
          <w:rPr>
            <w:rStyle w:val="Hyperlink"/>
          </w:rPr>
          <w:t>). Statistics assume a normal distribution of residuals.</w:t>
        </w:r>
        <w:r w:rsidR="0010654D">
          <w:rPr>
            <w:webHidden/>
          </w:rPr>
          <w:tab/>
        </w:r>
        <w:r w:rsidR="0010654D">
          <w:rPr>
            <w:webHidden/>
          </w:rPr>
          <w:fldChar w:fldCharType="begin"/>
        </w:r>
        <w:r w:rsidR="0010654D">
          <w:rPr>
            <w:webHidden/>
          </w:rPr>
          <w:instrText xml:space="preserve"> PAGEREF _Toc152692041 \h </w:instrText>
        </w:r>
        <w:r w:rsidR="0010654D">
          <w:rPr>
            <w:webHidden/>
          </w:rPr>
        </w:r>
        <w:r w:rsidR="0010654D">
          <w:rPr>
            <w:webHidden/>
          </w:rPr>
          <w:fldChar w:fldCharType="separate"/>
        </w:r>
        <w:r w:rsidR="0010654D">
          <w:rPr>
            <w:webHidden/>
          </w:rPr>
          <w:t>42</w:t>
        </w:r>
        <w:r w:rsidR="0010654D">
          <w:rPr>
            <w:webHidden/>
          </w:rPr>
          <w:fldChar w:fldCharType="end"/>
        </w:r>
      </w:hyperlink>
    </w:p>
    <w:p w14:paraId="5309F560" w14:textId="0304C835"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42" w:history="1">
        <w:r w:rsidR="0010654D" w:rsidRPr="00F61883">
          <w:rPr>
            <w:rStyle w:val="Hyperlink"/>
          </w:rPr>
          <w:t>Figure 13. A panel of linear regression plots using the same format as Figure 10, but with a comparison of IMet-XQ2 relative humidity vs. WXT536 (left) and CS125 (right) relative humidity.</w:t>
        </w:r>
        <w:r w:rsidR="0010654D">
          <w:rPr>
            <w:webHidden/>
          </w:rPr>
          <w:tab/>
        </w:r>
        <w:r w:rsidR="0010654D">
          <w:rPr>
            <w:webHidden/>
          </w:rPr>
          <w:fldChar w:fldCharType="begin"/>
        </w:r>
        <w:r w:rsidR="0010654D">
          <w:rPr>
            <w:webHidden/>
          </w:rPr>
          <w:instrText xml:space="preserve"> PAGEREF _Toc152692042 \h </w:instrText>
        </w:r>
        <w:r w:rsidR="0010654D">
          <w:rPr>
            <w:webHidden/>
          </w:rPr>
        </w:r>
        <w:r w:rsidR="0010654D">
          <w:rPr>
            <w:webHidden/>
          </w:rPr>
          <w:fldChar w:fldCharType="separate"/>
        </w:r>
        <w:r w:rsidR="0010654D">
          <w:rPr>
            <w:webHidden/>
          </w:rPr>
          <w:t>43</w:t>
        </w:r>
        <w:r w:rsidR="0010654D">
          <w:rPr>
            <w:webHidden/>
          </w:rPr>
          <w:fldChar w:fldCharType="end"/>
        </w:r>
      </w:hyperlink>
    </w:p>
    <w:p w14:paraId="40173805" w14:textId="43666039"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43" w:history="1">
        <w:r w:rsidR="0010654D" w:rsidRPr="00F61883">
          <w:rPr>
            <w:rStyle w:val="Hyperlink"/>
          </w:rPr>
          <w:t>Figure 14: A linear regression plot comparing the MiniOFS and CS125 visibility sensors when recording measurements below 4000 m.</w:t>
        </w:r>
        <w:r w:rsidR="0010654D">
          <w:rPr>
            <w:webHidden/>
          </w:rPr>
          <w:tab/>
        </w:r>
        <w:r w:rsidR="0010654D">
          <w:rPr>
            <w:webHidden/>
          </w:rPr>
          <w:fldChar w:fldCharType="begin"/>
        </w:r>
        <w:r w:rsidR="0010654D">
          <w:rPr>
            <w:webHidden/>
          </w:rPr>
          <w:instrText xml:space="preserve"> PAGEREF _Toc152692043 \h </w:instrText>
        </w:r>
        <w:r w:rsidR="0010654D">
          <w:rPr>
            <w:webHidden/>
          </w:rPr>
        </w:r>
        <w:r w:rsidR="0010654D">
          <w:rPr>
            <w:webHidden/>
          </w:rPr>
          <w:fldChar w:fldCharType="separate"/>
        </w:r>
        <w:r w:rsidR="0010654D">
          <w:rPr>
            <w:webHidden/>
          </w:rPr>
          <w:t>44</w:t>
        </w:r>
        <w:r w:rsidR="0010654D">
          <w:rPr>
            <w:webHidden/>
          </w:rPr>
          <w:fldChar w:fldCharType="end"/>
        </w:r>
      </w:hyperlink>
    </w:p>
    <w:p w14:paraId="55CCF0FB" w14:textId="46F8F18D"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44" w:history="1">
        <w:r w:rsidR="0010654D" w:rsidRPr="00F61883">
          <w:rPr>
            <w:rStyle w:val="Hyperlink"/>
          </w:rPr>
          <w:t>Figure 15. A linear regression plot using the same format as Figure 12, but during a fog event on March 22</w:t>
        </w:r>
        <w:r w:rsidR="0010654D" w:rsidRPr="00F61883">
          <w:rPr>
            <w:rStyle w:val="Hyperlink"/>
            <w:vertAlign w:val="superscript"/>
          </w:rPr>
          <w:t>nd</w:t>
        </w:r>
        <w:r w:rsidR="0010654D" w:rsidRPr="00F61883">
          <w:rPr>
            <w:rStyle w:val="Hyperlink"/>
          </w:rPr>
          <w:t>, 2022 when the visibility sensors are recording measurements below 1000 meters.</w:t>
        </w:r>
        <w:r w:rsidR="0010654D">
          <w:rPr>
            <w:webHidden/>
          </w:rPr>
          <w:tab/>
        </w:r>
        <w:r w:rsidR="0010654D">
          <w:rPr>
            <w:webHidden/>
          </w:rPr>
          <w:fldChar w:fldCharType="begin"/>
        </w:r>
        <w:r w:rsidR="0010654D">
          <w:rPr>
            <w:webHidden/>
          </w:rPr>
          <w:instrText xml:space="preserve"> PAGEREF _Toc152692044 \h </w:instrText>
        </w:r>
        <w:r w:rsidR="0010654D">
          <w:rPr>
            <w:webHidden/>
          </w:rPr>
        </w:r>
        <w:r w:rsidR="0010654D">
          <w:rPr>
            <w:webHidden/>
          </w:rPr>
          <w:fldChar w:fldCharType="separate"/>
        </w:r>
        <w:r w:rsidR="0010654D">
          <w:rPr>
            <w:webHidden/>
          </w:rPr>
          <w:t>45</w:t>
        </w:r>
        <w:r w:rsidR="0010654D">
          <w:rPr>
            <w:webHidden/>
          </w:rPr>
          <w:fldChar w:fldCharType="end"/>
        </w:r>
      </w:hyperlink>
    </w:p>
    <w:p w14:paraId="3245ACDE" w14:textId="4B197E38"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45" w:history="1">
        <w:r w:rsidR="0010654D" w:rsidRPr="00F61883">
          <w:rPr>
            <w:rStyle w:val="Hyperlink"/>
          </w:rPr>
          <w:t>Figure 16. A panel of tripod visibility (green), temperature (blue), and wind speed (purple) time series plots recorded by the IMet-XQ2 on March 7</w:t>
        </w:r>
        <w:r w:rsidR="0010654D" w:rsidRPr="00F61883">
          <w:rPr>
            <w:rStyle w:val="Hyperlink"/>
            <w:vertAlign w:val="superscript"/>
          </w:rPr>
          <w:t>th</w:t>
        </w:r>
        <w:r w:rsidR="0010654D" w:rsidRPr="00F61883">
          <w:rPr>
            <w:rStyle w:val="Hyperlink"/>
          </w:rPr>
          <w:t>, 2023. Data is visualized through the Grafana open-source software dashboards. The gray shaded area in the visibility plot represents the 1 km threshold for visibility reductions designated as fog. All times are reported in central standard time (CST). The March 7</w:t>
        </w:r>
        <w:r w:rsidR="0010654D" w:rsidRPr="00F61883">
          <w:rPr>
            <w:rStyle w:val="Hyperlink"/>
            <w:vertAlign w:val="superscript"/>
          </w:rPr>
          <w:t>th</w:t>
        </w:r>
        <w:r w:rsidR="0010654D" w:rsidRPr="00F61883">
          <w:rPr>
            <w:rStyle w:val="Hyperlink"/>
          </w:rPr>
          <w:t xml:space="preserve"> UAV mission occurred between 17:56 CST and 18:04 CST.</w:t>
        </w:r>
        <w:r w:rsidR="0010654D">
          <w:rPr>
            <w:webHidden/>
          </w:rPr>
          <w:tab/>
        </w:r>
        <w:r w:rsidR="0010654D">
          <w:rPr>
            <w:webHidden/>
          </w:rPr>
          <w:fldChar w:fldCharType="begin"/>
        </w:r>
        <w:r w:rsidR="0010654D">
          <w:rPr>
            <w:webHidden/>
          </w:rPr>
          <w:instrText xml:space="preserve"> PAGEREF _Toc152692045 \h </w:instrText>
        </w:r>
        <w:r w:rsidR="0010654D">
          <w:rPr>
            <w:webHidden/>
          </w:rPr>
        </w:r>
        <w:r w:rsidR="0010654D">
          <w:rPr>
            <w:webHidden/>
          </w:rPr>
          <w:fldChar w:fldCharType="separate"/>
        </w:r>
        <w:r w:rsidR="0010654D">
          <w:rPr>
            <w:webHidden/>
          </w:rPr>
          <w:t>48</w:t>
        </w:r>
        <w:r w:rsidR="0010654D">
          <w:rPr>
            <w:webHidden/>
          </w:rPr>
          <w:fldChar w:fldCharType="end"/>
        </w:r>
      </w:hyperlink>
    </w:p>
    <w:p w14:paraId="360598C4" w14:textId="368DEBA5"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46" w:history="1">
        <w:r w:rsidR="0010654D" w:rsidRPr="00F61883">
          <w:rPr>
            <w:rStyle w:val="Hyperlink"/>
          </w:rPr>
          <w:t>Figure 17. A panel of plots representing UAV altitude (black), temperature (red), and relative humidity (blue dotted) measurements during the March 7</w:t>
        </w:r>
        <w:r w:rsidR="0010654D" w:rsidRPr="00F61883">
          <w:rPr>
            <w:rStyle w:val="Hyperlink"/>
            <w:vertAlign w:val="superscript"/>
          </w:rPr>
          <w:t>th</w:t>
        </w:r>
        <w:r w:rsidR="0010654D" w:rsidRPr="00F61883">
          <w:rPr>
            <w:rStyle w:val="Hyperlink"/>
          </w:rPr>
          <w:t>, 2023 flight mission. Vertical black dashed lines indicate the start (17:59:48 CST) and end (18:02:54 CST) times for the vertical profile maneuver.</w:t>
        </w:r>
        <w:r w:rsidR="0010654D">
          <w:rPr>
            <w:webHidden/>
          </w:rPr>
          <w:tab/>
        </w:r>
        <w:r w:rsidR="0010654D">
          <w:rPr>
            <w:webHidden/>
          </w:rPr>
          <w:fldChar w:fldCharType="begin"/>
        </w:r>
        <w:r w:rsidR="0010654D">
          <w:rPr>
            <w:webHidden/>
          </w:rPr>
          <w:instrText xml:space="preserve"> PAGEREF _Toc152692046 \h </w:instrText>
        </w:r>
        <w:r w:rsidR="0010654D">
          <w:rPr>
            <w:webHidden/>
          </w:rPr>
        </w:r>
        <w:r w:rsidR="0010654D">
          <w:rPr>
            <w:webHidden/>
          </w:rPr>
          <w:fldChar w:fldCharType="separate"/>
        </w:r>
        <w:r w:rsidR="0010654D">
          <w:rPr>
            <w:webHidden/>
          </w:rPr>
          <w:t>49</w:t>
        </w:r>
        <w:r w:rsidR="0010654D">
          <w:rPr>
            <w:webHidden/>
          </w:rPr>
          <w:fldChar w:fldCharType="end"/>
        </w:r>
      </w:hyperlink>
    </w:p>
    <w:p w14:paraId="0FC2620F" w14:textId="3C68154B"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47" w:history="1">
        <w:r w:rsidR="0010654D" w:rsidRPr="00F61883">
          <w:rPr>
            <w:rStyle w:val="Hyperlink"/>
          </w:rPr>
          <w:t>Figure 18. A panel of plots representing temperature (red), dew point (purple), relative humidity (blue), and visibility (gray) during the March 7</w:t>
        </w:r>
        <w:r w:rsidR="0010654D" w:rsidRPr="00F61883">
          <w:rPr>
            <w:rStyle w:val="Hyperlink"/>
            <w:vertAlign w:val="superscript"/>
          </w:rPr>
          <w:t>th</w:t>
        </w:r>
        <w:r w:rsidR="0010654D" w:rsidRPr="00F61883">
          <w:rPr>
            <w:rStyle w:val="Hyperlink"/>
          </w:rPr>
          <w:t>, 2023 vertical profiling maneuver between 17:59:48 CST and 18:02:54 CST. The ascent profiling is represented as solid colors and the descent profiling represented as dashed colors.</w:t>
        </w:r>
        <w:r w:rsidR="0010654D">
          <w:rPr>
            <w:webHidden/>
          </w:rPr>
          <w:tab/>
        </w:r>
        <w:r w:rsidR="0010654D">
          <w:rPr>
            <w:webHidden/>
          </w:rPr>
          <w:fldChar w:fldCharType="begin"/>
        </w:r>
        <w:r w:rsidR="0010654D">
          <w:rPr>
            <w:webHidden/>
          </w:rPr>
          <w:instrText xml:space="preserve"> PAGEREF _Toc152692047 \h </w:instrText>
        </w:r>
        <w:r w:rsidR="0010654D">
          <w:rPr>
            <w:webHidden/>
          </w:rPr>
        </w:r>
        <w:r w:rsidR="0010654D">
          <w:rPr>
            <w:webHidden/>
          </w:rPr>
          <w:fldChar w:fldCharType="separate"/>
        </w:r>
        <w:r w:rsidR="0010654D">
          <w:rPr>
            <w:webHidden/>
          </w:rPr>
          <w:t>50</w:t>
        </w:r>
        <w:r w:rsidR="0010654D">
          <w:rPr>
            <w:webHidden/>
          </w:rPr>
          <w:fldChar w:fldCharType="end"/>
        </w:r>
      </w:hyperlink>
    </w:p>
    <w:p w14:paraId="2F389E89" w14:textId="06D82EE8"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48" w:history="1">
        <w:r w:rsidR="0010654D" w:rsidRPr="00F61883">
          <w:rPr>
            <w:rStyle w:val="Hyperlink"/>
          </w:rPr>
          <w:t>Figure 19. A representation of the March 13</w:t>
        </w:r>
        <w:r w:rsidR="0010654D" w:rsidRPr="00F61883">
          <w:rPr>
            <w:rStyle w:val="Hyperlink"/>
            <w:vertAlign w:val="superscript"/>
          </w:rPr>
          <w:t>th</w:t>
        </w:r>
        <w:r w:rsidR="0010654D" w:rsidRPr="00F61883">
          <w:rPr>
            <w:rStyle w:val="Hyperlink"/>
          </w:rPr>
          <w:t>, 2023 UAV flight data. The upper panel displays altitude (solid black line) on the primary y-axis and latitude (dotted orange line) on the secondary y-axis. The bottom panel displays temperature (dark red solid line) on the primary y-axis and relative humidity (dotted blue line) on the secondary y-axis. The latitude is centered at 46.67828 °N with observed changes occurring on a minute scale. Vertical black dotted lines separate four distinct maneuvers. A represents two vertical profiles. B represents a hovering period. Both C and D represent separate racetrack maneuvers.</w:t>
        </w:r>
        <w:r w:rsidR="0010654D">
          <w:rPr>
            <w:webHidden/>
          </w:rPr>
          <w:tab/>
        </w:r>
        <w:r w:rsidR="0010654D">
          <w:rPr>
            <w:webHidden/>
          </w:rPr>
          <w:fldChar w:fldCharType="begin"/>
        </w:r>
        <w:r w:rsidR="0010654D">
          <w:rPr>
            <w:webHidden/>
          </w:rPr>
          <w:instrText xml:space="preserve"> PAGEREF _Toc152692048 \h </w:instrText>
        </w:r>
        <w:r w:rsidR="0010654D">
          <w:rPr>
            <w:webHidden/>
          </w:rPr>
        </w:r>
        <w:r w:rsidR="0010654D">
          <w:rPr>
            <w:webHidden/>
          </w:rPr>
          <w:fldChar w:fldCharType="separate"/>
        </w:r>
        <w:r w:rsidR="0010654D">
          <w:rPr>
            <w:webHidden/>
          </w:rPr>
          <w:t>52</w:t>
        </w:r>
        <w:r w:rsidR="0010654D">
          <w:rPr>
            <w:webHidden/>
          </w:rPr>
          <w:fldChar w:fldCharType="end"/>
        </w:r>
      </w:hyperlink>
    </w:p>
    <w:p w14:paraId="2A26B361" w14:textId="0EDA9AA8"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49" w:history="1">
        <w:r w:rsidR="0010654D" w:rsidRPr="00F61883">
          <w:rPr>
            <w:rStyle w:val="Hyperlink"/>
          </w:rPr>
          <w:t>Figure 20. A panel of plots representing tripod wind speed and wind direction time series recorded by the Young Anemometer on March 13</w:t>
        </w:r>
        <w:r w:rsidR="0010654D" w:rsidRPr="00F61883">
          <w:rPr>
            <w:rStyle w:val="Hyperlink"/>
            <w:vertAlign w:val="superscript"/>
          </w:rPr>
          <w:t>th</w:t>
        </w:r>
        <w:r w:rsidR="0010654D" w:rsidRPr="00F61883">
          <w:rPr>
            <w:rStyle w:val="Hyperlink"/>
          </w:rPr>
          <w:t>, 2023. Data is visualized through the Grafana open-source software dashboards. All times are reported in central standard time. The UAV mission occurred between 15:12 CST and 15:58 CST.</w:t>
        </w:r>
        <w:r w:rsidR="0010654D">
          <w:rPr>
            <w:webHidden/>
          </w:rPr>
          <w:tab/>
        </w:r>
        <w:r w:rsidR="0010654D">
          <w:rPr>
            <w:webHidden/>
          </w:rPr>
          <w:fldChar w:fldCharType="begin"/>
        </w:r>
        <w:r w:rsidR="0010654D">
          <w:rPr>
            <w:webHidden/>
          </w:rPr>
          <w:instrText xml:space="preserve"> PAGEREF _Toc152692049 \h </w:instrText>
        </w:r>
        <w:r w:rsidR="0010654D">
          <w:rPr>
            <w:webHidden/>
          </w:rPr>
        </w:r>
        <w:r w:rsidR="0010654D">
          <w:rPr>
            <w:webHidden/>
          </w:rPr>
          <w:fldChar w:fldCharType="separate"/>
        </w:r>
        <w:r w:rsidR="0010654D">
          <w:rPr>
            <w:webHidden/>
          </w:rPr>
          <w:t>53</w:t>
        </w:r>
        <w:r w:rsidR="0010654D">
          <w:rPr>
            <w:webHidden/>
          </w:rPr>
          <w:fldChar w:fldCharType="end"/>
        </w:r>
      </w:hyperlink>
    </w:p>
    <w:p w14:paraId="29BC6043" w14:textId="51ED8A52"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50" w:history="1">
        <w:r w:rsidR="0010654D" w:rsidRPr="00F61883">
          <w:rPr>
            <w:rStyle w:val="Hyperlink"/>
          </w:rPr>
          <w:t>Figure 21. A panel of plots using the same format as Figure 18, except with relative humidity and temperature time series plots recorded by the IMet-XQ2.</w:t>
        </w:r>
        <w:r w:rsidR="0010654D">
          <w:rPr>
            <w:webHidden/>
          </w:rPr>
          <w:tab/>
        </w:r>
        <w:r w:rsidR="0010654D">
          <w:rPr>
            <w:webHidden/>
          </w:rPr>
          <w:fldChar w:fldCharType="begin"/>
        </w:r>
        <w:r w:rsidR="0010654D">
          <w:rPr>
            <w:webHidden/>
          </w:rPr>
          <w:instrText xml:space="preserve"> PAGEREF _Toc152692050 \h </w:instrText>
        </w:r>
        <w:r w:rsidR="0010654D">
          <w:rPr>
            <w:webHidden/>
          </w:rPr>
        </w:r>
        <w:r w:rsidR="0010654D">
          <w:rPr>
            <w:webHidden/>
          </w:rPr>
          <w:fldChar w:fldCharType="separate"/>
        </w:r>
        <w:r w:rsidR="0010654D">
          <w:rPr>
            <w:webHidden/>
          </w:rPr>
          <w:t>54</w:t>
        </w:r>
        <w:r w:rsidR="0010654D">
          <w:rPr>
            <w:webHidden/>
          </w:rPr>
          <w:fldChar w:fldCharType="end"/>
        </w:r>
      </w:hyperlink>
    </w:p>
    <w:p w14:paraId="3AC5C3E1" w14:textId="5CBC508F"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51" w:history="1">
        <w:r w:rsidR="0010654D" w:rsidRPr="00F61883">
          <w:rPr>
            <w:rStyle w:val="Hyperlink"/>
          </w:rPr>
          <w:t>Figure 22. A panel of plots representing temperature (red), dew point (purple), relative humidity (blue), and visibility (gray) during the first March 13</w:t>
        </w:r>
        <w:r w:rsidR="0010654D" w:rsidRPr="00F61883">
          <w:rPr>
            <w:rStyle w:val="Hyperlink"/>
            <w:vertAlign w:val="superscript"/>
          </w:rPr>
          <w:t>th</w:t>
        </w:r>
        <w:r w:rsidR="0010654D" w:rsidRPr="00F61883">
          <w:rPr>
            <w:rStyle w:val="Hyperlink"/>
          </w:rPr>
          <w:t>, 2023 vertical profiling maneuver represented by A on Figure 17. The ascent occurred between 15:14:26 CST and 15:18:03 CST. The descent occurred between 15:18:21 CST and 15:22:42 CST.</w:t>
        </w:r>
        <w:r w:rsidR="0010654D">
          <w:rPr>
            <w:webHidden/>
          </w:rPr>
          <w:tab/>
        </w:r>
        <w:r w:rsidR="0010654D">
          <w:rPr>
            <w:webHidden/>
          </w:rPr>
          <w:fldChar w:fldCharType="begin"/>
        </w:r>
        <w:r w:rsidR="0010654D">
          <w:rPr>
            <w:webHidden/>
          </w:rPr>
          <w:instrText xml:space="preserve"> PAGEREF _Toc152692051 \h </w:instrText>
        </w:r>
        <w:r w:rsidR="0010654D">
          <w:rPr>
            <w:webHidden/>
          </w:rPr>
        </w:r>
        <w:r w:rsidR="0010654D">
          <w:rPr>
            <w:webHidden/>
          </w:rPr>
          <w:fldChar w:fldCharType="separate"/>
        </w:r>
        <w:r w:rsidR="0010654D">
          <w:rPr>
            <w:webHidden/>
          </w:rPr>
          <w:t>55</w:t>
        </w:r>
        <w:r w:rsidR="0010654D">
          <w:rPr>
            <w:webHidden/>
          </w:rPr>
          <w:fldChar w:fldCharType="end"/>
        </w:r>
      </w:hyperlink>
    </w:p>
    <w:p w14:paraId="4FF86AE6" w14:textId="2CCC17C4"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52" w:history="1">
        <w:r w:rsidR="0010654D" w:rsidRPr="00F61883">
          <w:rPr>
            <w:rStyle w:val="Hyperlink"/>
          </w:rPr>
          <w:t>Figure 23. A panel of plots using the same format as Figure 20, but the second vertical profile represented within A on Figure 17. The ascent occurred between 15:22:50 CST and 15:26:36 CST. The descent occurred between 15:27:00 CST and 15:32:07 CST.</w:t>
        </w:r>
        <w:r w:rsidR="0010654D">
          <w:rPr>
            <w:webHidden/>
          </w:rPr>
          <w:tab/>
        </w:r>
        <w:r w:rsidR="0010654D">
          <w:rPr>
            <w:webHidden/>
          </w:rPr>
          <w:fldChar w:fldCharType="begin"/>
        </w:r>
        <w:r w:rsidR="0010654D">
          <w:rPr>
            <w:webHidden/>
          </w:rPr>
          <w:instrText xml:space="preserve"> PAGEREF _Toc152692052 \h </w:instrText>
        </w:r>
        <w:r w:rsidR="0010654D">
          <w:rPr>
            <w:webHidden/>
          </w:rPr>
        </w:r>
        <w:r w:rsidR="0010654D">
          <w:rPr>
            <w:webHidden/>
          </w:rPr>
          <w:fldChar w:fldCharType="separate"/>
        </w:r>
        <w:r w:rsidR="0010654D">
          <w:rPr>
            <w:webHidden/>
          </w:rPr>
          <w:t>55</w:t>
        </w:r>
        <w:r w:rsidR="0010654D">
          <w:rPr>
            <w:webHidden/>
          </w:rPr>
          <w:fldChar w:fldCharType="end"/>
        </w:r>
      </w:hyperlink>
    </w:p>
    <w:p w14:paraId="0829E36F" w14:textId="47C7A3DE"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53" w:history="1">
        <w:r w:rsidR="0010654D" w:rsidRPr="00F61883">
          <w:rPr>
            <w:rStyle w:val="Hyperlink"/>
          </w:rPr>
          <w:t>Figure 24. A panel of plots representing the UAV hovering maneuver represented by B on Figure 17. The maneuver begins at 15:34:04 CST and ends at 15:43:16 CST.</w:t>
        </w:r>
        <w:r w:rsidR="0010654D">
          <w:rPr>
            <w:webHidden/>
          </w:rPr>
          <w:tab/>
        </w:r>
        <w:r w:rsidR="0010654D">
          <w:rPr>
            <w:webHidden/>
          </w:rPr>
          <w:fldChar w:fldCharType="begin"/>
        </w:r>
        <w:r w:rsidR="0010654D">
          <w:rPr>
            <w:webHidden/>
          </w:rPr>
          <w:instrText xml:space="preserve"> PAGEREF _Toc152692053 \h </w:instrText>
        </w:r>
        <w:r w:rsidR="0010654D">
          <w:rPr>
            <w:webHidden/>
          </w:rPr>
        </w:r>
        <w:r w:rsidR="0010654D">
          <w:rPr>
            <w:webHidden/>
          </w:rPr>
          <w:fldChar w:fldCharType="separate"/>
        </w:r>
        <w:r w:rsidR="0010654D">
          <w:rPr>
            <w:webHidden/>
          </w:rPr>
          <w:t>56</w:t>
        </w:r>
        <w:r w:rsidR="0010654D">
          <w:rPr>
            <w:webHidden/>
          </w:rPr>
          <w:fldChar w:fldCharType="end"/>
        </w:r>
      </w:hyperlink>
    </w:p>
    <w:p w14:paraId="4A06BFB0" w14:textId="5FDC48C5"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54" w:history="1">
        <w:r w:rsidR="0010654D" w:rsidRPr="00F61883">
          <w:rPr>
            <w:rStyle w:val="Hyperlink"/>
          </w:rPr>
          <w:t>Figure 25. A panel of plots representing the UAV racetrack maneuver represented by C in Figure 17. The maneuver begins at 15:48:26 CST and ends at 15:52:10 CST.</w:t>
        </w:r>
        <w:r w:rsidR="0010654D">
          <w:rPr>
            <w:webHidden/>
          </w:rPr>
          <w:tab/>
        </w:r>
        <w:r w:rsidR="0010654D">
          <w:rPr>
            <w:webHidden/>
          </w:rPr>
          <w:fldChar w:fldCharType="begin"/>
        </w:r>
        <w:r w:rsidR="0010654D">
          <w:rPr>
            <w:webHidden/>
          </w:rPr>
          <w:instrText xml:space="preserve"> PAGEREF _Toc152692054 \h </w:instrText>
        </w:r>
        <w:r w:rsidR="0010654D">
          <w:rPr>
            <w:webHidden/>
          </w:rPr>
        </w:r>
        <w:r w:rsidR="0010654D">
          <w:rPr>
            <w:webHidden/>
          </w:rPr>
          <w:fldChar w:fldCharType="separate"/>
        </w:r>
        <w:r w:rsidR="0010654D">
          <w:rPr>
            <w:webHidden/>
          </w:rPr>
          <w:t>57</w:t>
        </w:r>
        <w:r w:rsidR="0010654D">
          <w:rPr>
            <w:webHidden/>
          </w:rPr>
          <w:fldChar w:fldCharType="end"/>
        </w:r>
      </w:hyperlink>
    </w:p>
    <w:p w14:paraId="7FF49CC6" w14:textId="6E142B3F"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55" w:history="1">
        <w:r w:rsidR="0010654D" w:rsidRPr="00F61883">
          <w:rPr>
            <w:rStyle w:val="Hyperlink"/>
          </w:rPr>
          <w:t>Figure 26. A panel of plots representing the UAV racetrack maneuver represented by D in Figure 17. The maneuver begins at 15:54:08 CST and ends at 15:55:35 CST.</w:t>
        </w:r>
        <w:r w:rsidR="0010654D">
          <w:rPr>
            <w:webHidden/>
          </w:rPr>
          <w:tab/>
        </w:r>
        <w:r w:rsidR="0010654D">
          <w:rPr>
            <w:webHidden/>
          </w:rPr>
          <w:fldChar w:fldCharType="begin"/>
        </w:r>
        <w:r w:rsidR="0010654D">
          <w:rPr>
            <w:webHidden/>
          </w:rPr>
          <w:instrText xml:space="preserve"> PAGEREF _Toc152692055 \h </w:instrText>
        </w:r>
        <w:r w:rsidR="0010654D">
          <w:rPr>
            <w:webHidden/>
          </w:rPr>
        </w:r>
        <w:r w:rsidR="0010654D">
          <w:rPr>
            <w:webHidden/>
          </w:rPr>
          <w:fldChar w:fldCharType="separate"/>
        </w:r>
        <w:r w:rsidR="0010654D">
          <w:rPr>
            <w:webHidden/>
          </w:rPr>
          <w:t>58</w:t>
        </w:r>
        <w:r w:rsidR="0010654D">
          <w:rPr>
            <w:webHidden/>
          </w:rPr>
          <w:fldChar w:fldCharType="end"/>
        </w:r>
      </w:hyperlink>
    </w:p>
    <w:p w14:paraId="662F4FF6" w14:textId="2B246944"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56" w:history="1">
        <w:r w:rsidR="0010654D" w:rsidRPr="00F61883">
          <w:rPr>
            <w:rStyle w:val="Hyperlink"/>
          </w:rPr>
          <w:t>Figure 27. A panel of plots using the same format as Figure 14, except representing the March 15</w:t>
        </w:r>
        <w:r w:rsidR="0010654D" w:rsidRPr="00F61883">
          <w:rPr>
            <w:rStyle w:val="Hyperlink"/>
            <w:vertAlign w:val="superscript"/>
          </w:rPr>
          <w:t>th</w:t>
        </w:r>
        <w:r w:rsidR="0010654D" w:rsidRPr="00F61883">
          <w:rPr>
            <w:rStyle w:val="Hyperlink"/>
          </w:rPr>
          <w:t xml:space="preserve"> 2023 UAV mission. The mission began at 08:07 CST and ended at 08:57 CST.</w:t>
        </w:r>
        <w:r w:rsidR="0010654D">
          <w:rPr>
            <w:webHidden/>
          </w:rPr>
          <w:tab/>
        </w:r>
        <w:r w:rsidR="0010654D">
          <w:rPr>
            <w:webHidden/>
          </w:rPr>
          <w:fldChar w:fldCharType="begin"/>
        </w:r>
        <w:r w:rsidR="0010654D">
          <w:rPr>
            <w:webHidden/>
          </w:rPr>
          <w:instrText xml:space="preserve"> PAGEREF _Toc152692056 \h </w:instrText>
        </w:r>
        <w:r w:rsidR="0010654D">
          <w:rPr>
            <w:webHidden/>
          </w:rPr>
        </w:r>
        <w:r w:rsidR="0010654D">
          <w:rPr>
            <w:webHidden/>
          </w:rPr>
          <w:fldChar w:fldCharType="separate"/>
        </w:r>
        <w:r w:rsidR="0010654D">
          <w:rPr>
            <w:webHidden/>
          </w:rPr>
          <w:t>60</w:t>
        </w:r>
        <w:r w:rsidR="0010654D">
          <w:rPr>
            <w:webHidden/>
          </w:rPr>
          <w:fldChar w:fldCharType="end"/>
        </w:r>
      </w:hyperlink>
    </w:p>
    <w:p w14:paraId="401B9045" w14:textId="4A401052"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57" w:history="1">
        <w:r w:rsidR="0010654D" w:rsidRPr="00F61883">
          <w:rPr>
            <w:rStyle w:val="Hyperlink"/>
          </w:rPr>
          <w:t>Figure 28. A plot representing the March 15</w:t>
        </w:r>
        <w:r w:rsidR="0010654D" w:rsidRPr="00F61883">
          <w:rPr>
            <w:rStyle w:val="Hyperlink"/>
            <w:vertAlign w:val="superscript"/>
          </w:rPr>
          <w:t>th</w:t>
        </w:r>
        <w:r w:rsidR="0010654D" w:rsidRPr="00F61883">
          <w:rPr>
            <w:rStyle w:val="Hyperlink"/>
          </w:rPr>
          <w:t xml:space="preserve"> 2023 UAV flight data. Altitude (solid black line) is displayed on the primary y-axis and latitude (dotted orange line) displayed on the secondary y-axis. The latitude is centered at 46.67828 °N with observed changes occurring on a minute scale. Dotted vertical black lines represent the start and end times for the hovering maneuver designated as A.</w:t>
        </w:r>
        <w:r w:rsidR="0010654D">
          <w:rPr>
            <w:webHidden/>
          </w:rPr>
          <w:tab/>
        </w:r>
        <w:r w:rsidR="0010654D">
          <w:rPr>
            <w:webHidden/>
          </w:rPr>
          <w:fldChar w:fldCharType="begin"/>
        </w:r>
        <w:r w:rsidR="0010654D">
          <w:rPr>
            <w:webHidden/>
          </w:rPr>
          <w:instrText xml:space="preserve"> PAGEREF _Toc152692057 \h </w:instrText>
        </w:r>
        <w:r w:rsidR="0010654D">
          <w:rPr>
            <w:webHidden/>
          </w:rPr>
        </w:r>
        <w:r w:rsidR="0010654D">
          <w:rPr>
            <w:webHidden/>
          </w:rPr>
          <w:fldChar w:fldCharType="separate"/>
        </w:r>
        <w:r w:rsidR="0010654D">
          <w:rPr>
            <w:webHidden/>
          </w:rPr>
          <w:t>61</w:t>
        </w:r>
        <w:r w:rsidR="0010654D">
          <w:rPr>
            <w:webHidden/>
          </w:rPr>
          <w:fldChar w:fldCharType="end"/>
        </w:r>
      </w:hyperlink>
    </w:p>
    <w:p w14:paraId="7C7A833A" w14:textId="1BB199B1"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58" w:history="1">
        <w:r w:rsidR="0010654D" w:rsidRPr="00F61883">
          <w:rPr>
            <w:rStyle w:val="Hyperlink"/>
          </w:rPr>
          <w:t>Figure 29. A plot representing the hovering maneuver as indicated by A in Figure 26. Altitude (solid black line) is represented on the y-axis and visibility (dashed gray line) is represented on the secondary y-axis.</w:t>
        </w:r>
        <w:r w:rsidR="0010654D">
          <w:rPr>
            <w:webHidden/>
          </w:rPr>
          <w:tab/>
        </w:r>
        <w:r w:rsidR="0010654D">
          <w:rPr>
            <w:webHidden/>
          </w:rPr>
          <w:fldChar w:fldCharType="begin"/>
        </w:r>
        <w:r w:rsidR="0010654D">
          <w:rPr>
            <w:webHidden/>
          </w:rPr>
          <w:instrText xml:space="preserve"> PAGEREF _Toc152692058 \h </w:instrText>
        </w:r>
        <w:r w:rsidR="0010654D">
          <w:rPr>
            <w:webHidden/>
          </w:rPr>
        </w:r>
        <w:r w:rsidR="0010654D">
          <w:rPr>
            <w:webHidden/>
          </w:rPr>
          <w:fldChar w:fldCharType="separate"/>
        </w:r>
        <w:r w:rsidR="0010654D">
          <w:rPr>
            <w:webHidden/>
          </w:rPr>
          <w:t>62</w:t>
        </w:r>
        <w:r w:rsidR="0010654D">
          <w:rPr>
            <w:webHidden/>
          </w:rPr>
          <w:fldChar w:fldCharType="end"/>
        </w:r>
      </w:hyperlink>
    </w:p>
    <w:p w14:paraId="030931F3" w14:textId="66B1FD1D"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59" w:history="1">
        <w:r w:rsidR="0010654D" w:rsidRPr="00F61883">
          <w:rPr>
            <w:rStyle w:val="Hyperlink"/>
          </w:rPr>
          <w:t>Figure 30. A panel of plots using the same format as Figure 14, except representing the March 23</w:t>
        </w:r>
        <w:r w:rsidR="0010654D" w:rsidRPr="00F61883">
          <w:rPr>
            <w:rStyle w:val="Hyperlink"/>
            <w:vertAlign w:val="superscript"/>
          </w:rPr>
          <w:t>rd</w:t>
        </w:r>
        <w:r w:rsidR="0010654D" w:rsidRPr="00F61883">
          <w:rPr>
            <w:rStyle w:val="Hyperlink"/>
          </w:rPr>
          <w:t xml:space="preserve"> 2023 UAV mission. The mission began at 08:17 CST and ended at 09:30 CST.</w:t>
        </w:r>
        <w:r w:rsidR="0010654D">
          <w:rPr>
            <w:webHidden/>
          </w:rPr>
          <w:tab/>
        </w:r>
        <w:r w:rsidR="0010654D">
          <w:rPr>
            <w:webHidden/>
          </w:rPr>
          <w:fldChar w:fldCharType="begin"/>
        </w:r>
        <w:r w:rsidR="0010654D">
          <w:rPr>
            <w:webHidden/>
          </w:rPr>
          <w:instrText xml:space="preserve"> PAGEREF _Toc152692059 \h </w:instrText>
        </w:r>
        <w:r w:rsidR="0010654D">
          <w:rPr>
            <w:webHidden/>
          </w:rPr>
        </w:r>
        <w:r w:rsidR="0010654D">
          <w:rPr>
            <w:webHidden/>
          </w:rPr>
          <w:fldChar w:fldCharType="separate"/>
        </w:r>
        <w:r w:rsidR="0010654D">
          <w:rPr>
            <w:webHidden/>
          </w:rPr>
          <w:t>64</w:t>
        </w:r>
        <w:r w:rsidR="0010654D">
          <w:rPr>
            <w:webHidden/>
          </w:rPr>
          <w:fldChar w:fldCharType="end"/>
        </w:r>
      </w:hyperlink>
    </w:p>
    <w:p w14:paraId="12CDDDB8" w14:textId="73AF1520"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60" w:history="1">
        <w:r w:rsidR="0010654D" w:rsidRPr="00F61883">
          <w:rPr>
            <w:rStyle w:val="Hyperlink"/>
          </w:rPr>
          <w:t>Figure 31. A plot using the same format as Figure 26, but representing the first flight of the March 23rd 2023 mission.</w:t>
        </w:r>
        <w:r w:rsidR="0010654D">
          <w:rPr>
            <w:webHidden/>
          </w:rPr>
          <w:tab/>
        </w:r>
        <w:r w:rsidR="0010654D">
          <w:rPr>
            <w:webHidden/>
          </w:rPr>
          <w:fldChar w:fldCharType="begin"/>
        </w:r>
        <w:r w:rsidR="0010654D">
          <w:rPr>
            <w:webHidden/>
          </w:rPr>
          <w:instrText xml:space="preserve"> PAGEREF _Toc152692060 \h </w:instrText>
        </w:r>
        <w:r w:rsidR="0010654D">
          <w:rPr>
            <w:webHidden/>
          </w:rPr>
        </w:r>
        <w:r w:rsidR="0010654D">
          <w:rPr>
            <w:webHidden/>
          </w:rPr>
          <w:fldChar w:fldCharType="separate"/>
        </w:r>
        <w:r w:rsidR="0010654D">
          <w:rPr>
            <w:webHidden/>
          </w:rPr>
          <w:t>65</w:t>
        </w:r>
        <w:r w:rsidR="0010654D">
          <w:rPr>
            <w:webHidden/>
          </w:rPr>
          <w:fldChar w:fldCharType="end"/>
        </w:r>
      </w:hyperlink>
    </w:p>
    <w:p w14:paraId="7EBF9649" w14:textId="16D66FA5"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61" w:history="1">
        <w:r w:rsidR="0010654D" w:rsidRPr="00F61883">
          <w:rPr>
            <w:rStyle w:val="Hyperlink"/>
          </w:rPr>
          <w:t>Figure 32. A plot using a similar format to Figure 29 but representing the second flight of the March 23</w:t>
        </w:r>
        <w:r w:rsidR="0010654D" w:rsidRPr="00F61883">
          <w:rPr>
            <w:rStyle w:val="Hyperlink"/>
            <w:vertAlign w:val="superscript"/>
          </w:rPr>
          <w:t>rd</w:t>
        </w:r>
        <w:r w:rsidR="0010654D" w:rsidRPr="00F61883">
          <w:rPr>
            <w:rStyle w:val="Hyperlink"/>
          </w:rPr>
          <w:t xml:space="preserve"> 2023 mission. Altitude (black solid line) is displayed on the y-axis and visibility (gray dotted line) is displayed on the secondary y-axis.</w:t>
        </w:r>
        <w:r w:rsidR="0010654D">
          <w:rPr>
            <w:webHidden/>
          </w:rPr>
          <w:tab/>
        </w:r>
        <w:r w:rsidR="0010654D">
          <w:rPr>
            <w:webHidden/>
          </w:rPr>
          <w:fldChar w:fldCharType="begin"/>
        </w:r>
        <w:r w:rsidR="0010654D">
          <w:rPr>
            <w:webHidden/>
          </w:rPr>
          <w:instrText xml:space="preserve"> PAGEREF _Toc152692061 \h </w:instrText>
        </w:r>
        <w:r w:rsidR="0010654D">
          <w:rPr>
            <w:webHidden/>
          </w:rPr>
        </w:r>
        <w:r w:rsidR="0010654D">
          <w:rPr>
            <w:webHidden/>
          </w:rPr>
          <w:fldChar w:fldCharType="separate"/>
        </w:r>
        <w:r w:rsidR="0010654D">
          <w:rPr>
            <w:webHidden/>
          </w:rPr>
          <w:t>65</w:t>
        </w:r>
        <w:r w:rsidR="0010654D">
          <w:rPr>
            <w:webHidden/>
          </w:rPr>
          <w:fldChar w:fldCharType="end"/>
        </w:r>
      </w:hyperlink>
    </w:p>
    <w:p w14:paraId="16F57970" w14:textId="602F407A"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62" w:history="1">
        <w:r w:rsidR="0010654D" w:rsidRPr="00F61883">
          <w:rPr>
            <w:rStyle w:val="Hyperlink"/>
          </w:rPr>
          <w:t>Figure 33. A three-panel representation of the first (left), second (center), and fourth (right) vertical profiling maneuvers during the March 23rd, 2023 UAV mission. For each panel, altitude is on the y-axis and visibility is the x-axis. All ascents are represented as solid black lines, and all descents are labeled as dashed gray lines. Times represented are start times for the respective maneuver in central standard time.</w:t>
        </w:r>
        <w:r w:rsidR="0010654D">
          <w:rPr>
            <w:webHidden/>
          </w:rPr>
          <w:tab/>
        </w:r>
        <w:r w:rsidR="0010654D">
          <w:rPr>
            <w:webHidden/>
          </w:rPr>
          <w:fldChar w:fldCharType="begin"/>
        </w:r>
        <w:r w:rsidR="0010654D">
          <w:rPr>
            <w:webHidden/>
          </w:rPr>
          <w:instrText xml:space="preserve"> PAGEREF _Toc152692062 \h </w:instrText>
        </w:r>
        <w:r w:rsidR="0010654D">
          <w:rPr>
            <w:webHidden/>
          </w:rPr>
        </w:r>
        <w:r w:rsidR="0010654D">
          <w:rPr>
            <w:webHidden/>
          </w:rPr>
          <w:fldChar w:fldCharType="separate"/>
        </w:r>
        <w:r w:rsidR="0010654D">
          <w:rPr>
            <w:webHidden/>
          </w:rPr>
          <w:t>66</w:t>
        </w:r>
        <w:r w:rsidR="0010654D">
          <w:rPr>
            <w:webHidden/>
          </w:rPr>
          <w:fldChar w:fldCharType="end"/>
        </w:r>
      </w:hyperlink>
    </w:p>
    <w:p w14:paraId="62408E89" w14:textId="4470B1FE"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63" w:history="1">
        <w:r w:rsidR="0010654D" w:rsidRPr="00F61883">
          <w:rPr>
            <w:rStyle w:val="Hyperlink"/>
          </w:rPr>
          <w:t>Figure 34. A panel of plots using the same format as Figure 14, except representing the March 24</w:t>
        </w:r>
        <w:r w:rsidR="0010654D" w:rsidRPr="00F61883">
          <w:rPr>
            <w:rStyle w:val="Hyperlink"/>
            <w:vertAlign w:val="superscript"/>
          </w:rPr>
          <w:t>th</w:t>
        </w:r>
        <w:r w:rsidR="0010654D" w:rsidRPr="00F61883">
          <w:rPr>
            <w:rStyle w:val="Hyperlink"/>
          </w:rPr>
          <w:t xml:space="preserve"> 2023 UAV mission. The mission began at 08:01:09 CST and ended at 08:25:47 CST.</w:t>
        </w:r>
        <w:r w:rsidR="0010654D">
          <w:rPr>
            <w:webHidden/>
          </w:rPr>
          <w:tab/>
        </w:r>
        <w:r w:rsidR="0010654D">
          <w:rPr>
            <w:webHidden/>
          </w:rPr>
          <w:fldChar w:fldCharType="begin"/>
        </w:r>
        <w:r w:rsidR="0010654D">
          <w:rPr>
            <w:webHidden/>
          </w:rPr>
          <w:instrText xml:space="preserve"> PAGEREF _Toc152692063 \h </w:instrText>
        </w:r>
        <w:r w:rsidR="0010654D">
          <w:rPr>
            <w:webHidden/>
          </w:rPr>
        </w:r>
        <w:r w:rsidR="0010654D">
          <w:rPr>
            <w:webHidden/>
          </w:rPr>
          <w:fldChar w:fldCharType="separate"/>
        </w:r>
        <w:r w:rsidR="0010654D">
          <w:rPr>
            <w:webHidden/>
          </w:rPr>
          <w:t>68</w:t>
        </w:r>
        <w:r w:rsidR="0010654D">
          <w:rPr>
            <w:webHidden/>
          </w:rPr>
          <w:fldChar w:fldCharType="end"/>
        </w:r>
      </w:hyperlink>
    </w:p>
    <w:p w14:paraId="61A8F73B" w14:textId="12785C36"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64" w:history="1">
        <w:r w:rsidR="0010654D" w:rsidRPr="00F61883">
          <w:rPr>
            <w:rStyle w:val="Hyperlink"/>
          </w:rPr>
          <w:t>Figure 35. A panel of plots using the same format as Figure 17, but for the March 24</w:t>
        </w:r>
        <w:r w:rsidR="0010654D" w:rsidRPr="00F61883">
          <w:rPr>
            <w:rStyle w:val="Hyperlink"/>
            <w:vertAlign w:val="superscript"/>
          </w:rPr>
          <w:t>th</w:t>
        </w:r>
        <w:r w:rsidR="0010654D" w:rsidRPr="00F61883">
          <w:rPr>
            <w:rStyle w:val="Hyperlink"/>
          </w:rPr>
          <w:t>, 2023 mission. Vertical dashed black lines encompass the two vertical profiling maneuvers, labeled A and B.</w:t>
        </w:r>
        <w:r w:rsidR="0010654D">
          <w:rPr>
            <w:webHidden/>
          </w:rPr>
          <w:tab/>
        </w:r>
        <w:r w:rsidR="0010654D">
          <w:rPr>
            <w:webHidden/>
          </w:rPr>
          <w:fldChar w:fldCharType="begin"/>
        </w:r>
        <w:r w:rsidR="0010654D">
          <w:rPr>
            <w:webHidden/>
          </w:rPr>
          <w:instrText xml:space="preserve"> PAGEREF _Toc152692064 \h </w:instrText>
        </w:r>
        <w:r w:rsidR="0010654D">
          <w:rPr>
            <w:webHidden/>
          </w:rPr>
        </w:r>
        <w:r w:rsidR="0010654D">
          <w:rPr>
            <w:webHidden/>
          </w:rPr>
          <w:fldChar w:fldCharType="separate"/>
        </w:r>
        <w:r w:rsidR="0010654D">
          <w:rPr>
            <w:webHidden/>
          </w:rPr>
          <w:t>69</w:t>
        </w:r>
        <w:r w:rsidR="0010654D">
          <w:rPr>
            <w:webHidden/>
          </w:rPr>
          <w:fldChar w:fldCharType="end"/>
        </w:r>
      </w:hyperlink>
    </w:p>
    <w:p w14:paraId="2A218DFE" w14:textId="5B1D0C7D"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65" w:history="1">
        <w:r w:rsidR="0010654D" w:rsidRPr="00F61883">
          <w:rPr>
            <w:rStyle w:val="Hyperlink"/>
          </w:rPr>
          <w:t>Figure 36. A panel of plots using the same format as Figure 20 but representing the first vertical profiling maneuver on March 24</w:t>
        </w:r>
        <w:r w:rsidR="0010654D" w:rsidRPr="00F61883">
          <w:rPr>
            <w:rStyle w:val="Hyperlink"/>
            <w:vertAlign w:val="superscript"/>
          </w:rPr>
          <w:t>th</w:t>
        </w:r>
        <w:r w:rsidR="0010654D" w:rsidRPr="00F61883">
          <w:rPr>
            <w:rStyle w:val="Hyperlink"/>
          </w:rPr>
          <w:t>, 2023, labeled A in Figure 33.</w:t>
        </w:r>
        <w:r w:rsidR="0010654D">
          <w:rPr>
            <w:webHidden/>
          </w:rPr>
          <w:tab/>
        </w:r>
        <w:r w:rsidR="0010654D">
          <w:rPr>
            <w:webHidden/>
          </w:rPr>
          <w:fldChar w:fldCharType="begin"/>
        </w:r>
        <w:r w:rsidR="0010654D">
          <w:rPr>
            <w:webHidden/>
          </w:rPr>
          <w:instrText xml:space="preserve"> PAGEREF _Toc152692065 \h </w:instrText>
        </w:r>
        <w:r w:rsidR="0010654D">
          <w:rPr>
            <w:webHidden/>
          </w:rPr>
        </w:r>
        <w:r w:rsidR="0010654D">
          <w:rPr>
            <w:webHidden/>
          </w:rPr>
          <w:fldChar w:fldCharType="separate"/>
        </w:r>
        <w:r w:rsidR="0010654D">
          <w:rPr>
            <w:webHidden/>
          </w:rPr>
          <w:t>70</w:t>
        </w:r>
        <w:r w:rsidR="0010654D">
          <w:rPr>
            <w:webHidden/>
          </w:rPr>
          <w:fldChar w:fldCharType="end"/>
        </w:r>
      </w:hyperlink>
    </w:p>
    <w:p w14:paraId="645110E7" w14:textId="0D78EFEB"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66" w:history="1">
        <w:r w:rsidR="0010654D" w:rsidRPr="00F61883">
          <w:rPr>
            <w:rStyle w:val="Hyperlink"/>
          </w:rPr>
          <w:t>Figure 37. A panel of plots using the same format as Figure 20 but representing the second vertical profiling maneuver on March 24</w:t>
        </w:r>
        <w:r w:rsidR="0010654D" w:rsidRPr="00F61883">
          <w:rPr>
            <w:rStyle w:val="Hyperlink"/>
            <w:vertAlign w:val="superscript"/>
          </w:rPr>
          <w:t>th</w:t>
        </w:r>
        <w:r w:rsidR="0010654D" w:rsidRPr="00F61883">
          <w:rPr>
            <w:rStyle w:val="Hyperlink"/>
          </w:rPr>
          <w:t>, 2023, labeled B in Figure 33.</w:t>
        </w:r>
        <w:r w:rsidR="0010654D">
          <w:rPr>
            <w:webHidden/>
          </w:rPr>
          <w:tab/>
        </w:r>
        <w:r w:rsidR="0010654D">
          <w:rPr>
            <w:webHidden/>
          </w:rPr>
          <w:fldChar w:fldCharType="begin"/>
        </w:r>
        <w:r w:rsidR="0010654D">
          <w:rPr>
            <w:webHidden/>
          </w:rPr>
          <w:instrText xml:space="preserve"> PAGEREF _Toc152692066 \h </w:instrText>
        </w:r>
        <w:r w:rsidR="0010654D">
          <w:rPr>
            <w:webHidden/>
          </w:rPr>
        </w:r>
        <w:r w:rsidR="0010654D">
          <w:rPr>
            <w:webHidden/>
          </w:rPr>
          <w:fldChar w:fldCharType="separate"/>
        </w:r>
        <w:r w:rsidR="0010654D">
          <w:rPr>
            <w:webHidden/>
          </w:rPr>
          <w:t>70</w:t>
        </w:r>
        <w:r w:rsidR="0010654D">
          <w:rPr>
            <w:webHidden/>
          </w:rPr>
          <w:fldChar w:fldCharType="end"/>
        </w:r>
      </w:hyperlink>
    </w:p>
    <w:p w14:paraId="150260A3" w14:textId="0F59BB32"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67" w:history="1">
        <w:r w:rsidR="0010654D" w:rsidRPr="00F61883">
          <w:rPr>
            <w:rStyle w:val="Hyperlink"/>
          </w:rPr>
          <w:t>Figure 38. A plot representing the total hourly fog occurrences for the 1989-2019 climatological sampling period below a 10 meter per second threshold, grouped by calendar day and visualized through 20-day rolling averages for each station. The light blue histogram is of KGFK for reference.</w:t>
        </w:r>
        <w:r w:rsidR="0010654D">
          <w:rPr>
            <w:webHidden/>
          </w:rPr>
          <w:tab/>
        </w:r>
        <w:r w:rsidR="0010654D">
          <w:rPr>
            <w:webHidden/>
          </w:rPr>
          <w:fldChar w:fldCharType="begin"/>
        </w:r>
        <w:r w:rsidR="0010654D">
          <w:rPr>
            <w:webHidden/>
          </w:rPr>
          <w:instrText xml:space="preserve"> PAGEREF _Toc152692067 \h </w:instrText>
        </w:r>
        <w:r w:rsidR="0010654D">
          <w:rPr>
            <w:webHidden/>
          </w:rPr>
        </w:r>
        <w:r w:rsidR="0010654D">
          <w:rPr>
            <w:webHidden/>
          </w:rPr>
          <w:fldChar w:fldCharType="separate"/>
        </w:r>
        <w:r w:rsidR="0010654D">
          <w:rPr>
            <w:webHidden/>
          </w:rPr>
          <w:t>74</w:t>
        </w:r>
        <w:r w:rsidR="0010654D">
          <w:rPr>
            <w:webHidden/>
          </w:rPr>
          <w:fldChar w:fldCharType="end"/>
        </w:r>
      </w:hyperlink>
    </w:p>
    <w:p w14:paraId="17420437" w14:textId="175065B9"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68" w:history="1">
        <w:r w:rsidR="0010654D" w:rsidRPr="00F61883">
          <w:rPr>
            <w:rStyle w:val="Hyperlink"/>
          </w:rPr>
          <w:t>Figure 39. A plot with the same format as Figure 36 but with a ≤ 0 °C threshold.</w:t>
        </w:r>
        <w:r w:rsidR="0010654D">
          <w:rPr>
            <w:webHidden/>
          </w:rPr>
          <w:tab/>
        </w:r>
        <w:r w:rsidR="0010654D">
          <w:rPr>
            <w:webHidden/>
          </w:rPr>
          <w:fldChar w:fldCharType="begin"/>
        </w:r>
        <w:r w:rsidR="0010654D">
          <w:rPr>
            <w:webHidden/>
          </w:rPr>
          <w:instrText xml:space="preserve"> PAGEREF _Toc152692068 \h </w:instrText>
        </w:r>
        <w:r w:rsidR="0010654D">
          <w:rPr>
            <w:webHidden/>
          </w:rPr>
        </w:r>
        <w:r w:rsidR="0010654D">
          <w:rPr>
            <w:webHidden/>
          </w:rPr>
          <w:fldChar w:fldCharType="separate"/>
        </w:r>
        <w:r w:rsidR="0010654D">
          <w:rPr>
            <w:webHidden/>
          </w:rPr>
          <w:t>75</w:t>
        </w:r>
        <w:r w:rsidR="0010654D">
          <w:rPr>
            <w:webHidden/>
          </w:rPr>
          <w:fldChar w:fldCharType="end"/>
        </w:r>
      </w:hyperlink>
    </w:p>
    <w:p w14:paraId="391D2E6F" w14:textId="43438A4D" w:rsidR="006D4F1A" w:rsidRDefault="00F930A5" w:rsidP="00F4314A">
      <w:pPr>
        <w:pStyle w:val="Heading1"/>
        <w:jc w:val="both"/>
        <w:rPr>
          <w:b w:val="0"/>
          <w:bCs w:val="0"/>
        </w:rPr>
      </w:pPr>
      <w:r>
        <w:fldChar w:fldCharType="end"/>
      </w:r>
      <w:r w:rsidR="006D4F1A">
        <w:br w:type="page"/>
      </w:r>
    </w:p>
    <w:p w14:paraId="1EFF0F98" w14:textId="77777777" w:rsidR="0010654D" w:rsidRDefault="00D93191" w:rsidP="00F4314A">
      <w:pPr>
        <w:pStyle w:val="Heading1"/>
        <w:rPr>
          <w:noProof/>
        </w:rPr>
      </w:pPr>
      <w:bookmarkStart w:id="2" w:name="_Toc152692006"/>
      <w:r>
        <w:lastRenderedPageBreak/>
        <w:t>LIST OF TABLES</w:t>
      </w:r>
      <w:bookmarkEnd w:id="2"/>
      <w:r w:rsidR="00092EE3">
        <w:fldChar w:fldCharType="begin"/>
      </w:r>
      <w:r w:rsidR="00092EE3">
        <w:instrText xml:space="preserve"> TOC \h \z \c "Table" </w:instrText>
      </w:r>
      <w:r w:rsidR="00092EE3">
        <w:fldChar w:fldCharType="separate"/>
      </w:r>
    </w:p>
    <w:p w14:paraId="3A060FF0" w14:textId="459CD1ED"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69" w:history="1">
        <w:r w:rsidR="0010654D" w:rsidRPr="00772B8C">
          <w:rPr>
            <w:rStyle w:val="Hyperlink"/>
          </w:rPr>
          <w:t>Table 1. Table showing the IMet-XQ2 sensor specifications. Note that the response time of the temperature and relative humidity sensors are contingent on a minimum of 5 m/s of airflow. The range of response times for the humidity sensor is temperature dependent: 0.6 seconds at 25 °C, 5.2 seconds at 5 °C, and 10.9 seconds at -10 °C. Accuracy for the GPS sensor is measured in the vertical.</w:t>
        </w:r>
        <w:r w:rsidR="0010654D">
          <w:rPr>
            <w:webHidden/>
          </w:rPr>
          <w:tab/>
        </w:r>
        <w:r w:rsidR="0010654D">
          <w:rPr>
            <w:webHidden/>
          </w:rPr>
          <w:fldChar w:fldCharType="begin"/>
        </w:r>
        <w:r w:rsidR="0010654D">
          <w:rPr>
            <w:webHidden/>
          </w:rPr>
          <w:instrText xml:space="preserve"> PAGEREF _Toc152692069 \h </w:instrText>
        </w:r>
        <w:r w:rsidR="0010654D">
          <w:rPr>
            <w:webHidden/>
          </w:rPr>
        </w:r>
        <w:r w:rsidR="0010654D">
          <w:rPr>
            <w:webHidden/>
          </w:rPr>
          <w:fldChar w:fldCharType="separate"/>
        </w:r>
        <w:r w:rsidR="0010654D">
          <w:rPr>
            <w:webHidden/>
          </w:rPr>
          <w:t>19</w:t>
        </w:r>
        <w:r w:rsidR="0010654D">
          <w:rPr>
            <w:webHidden/>
          </w:rPr>
          <w:fldChar w:fldCharType="end"/>
        </w:r>
      </w:hyperlink>
    </w:p>
    <w:p w14:paraId="159E3C3D" w14:textId="0704AFC5"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70" w:history="1">
        <w:r w:rsidR="0010654D" w:rsidRPr="00772B8C">
          <w:rPr>
            <w:rStyle w:val="Hyperlink"/>
          </w:rPr>
          <w:t>Table 2. Table indicating the MiniOFS Sensor Specifications. Manufacturer recommendations suggest a 5-to-10-meter safe zone free of obstructions ahead of the optical receiver.</w:t>
        </w:r>
        <w:r w:rsidR="0010654D">
          <w:rPr>
            <w:webHidden/>
          </w:rPr>
          <w:tab/>
        </w:r>
        <w:r w:rsidR="0010654D">
          <w:rPr>
            <w:webHidden/>
          </w:rPr>
          <w:fldChar w:fldCharType="begin"/>
        </w:r>
        <w:r w:rsidR="0010654D">
          <w:rPr>
            <w:webHidden/>
          </w:rPr>
          <w:instrText xml:space="preserve"> PAGEREF _Toc152692070 \h </w:instrText>
        </w:r>
        <w:r w:rsidR="0010654D">
          <w:rPr>
            <w:webHidden/>
          </w:rPr>
        </w:r>
        <w:r w:rsidR="0010654D">
          <w:rPr>
            <w:webHidden/>
          </w:rPr>
          <w:fldChar w:fldCharType="separate"/>
        </w:r>
        <w:r w:rsidR="0010654D">
          <w:rPr>
            <w:webHidden/>
          </w:rPr>
          <w:t>21</w:t>
        </w:r>
        <w:r w:rsidR="0010654D">
          <w:rPr>
            <w:webHidden/>
          </w:rPr>
          <w:fldChar w:fldCharType="end"/>
        </w:r>
      </w:hyperlink>
    </w:p>
    <w:p w14:paraId="72799FA9" w14:textId="5FFE4F07"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71" w:history="1">
        <w:r w:rsidR="0010654D" w:rsidRPr="00772B8C">
          <w:rPr>
            <w:rStyle w:val="Hyperlink"/>
          </w:rPr>
          <w:t>Table 3: A table of UAV specifications for supercooled and low visibility missions. The Pixhawk Cube is a module that integrates autopilot functionality into UAV operation. The Radio Control Controller acts as a ground station for data uplink and visualization to the UAV. The Botlink XRD provides constant monitoring during UAV operations using a 4G LTE connection and facilitates real-time data upload. The Firehouse ARC strobe lights enable drone visualization during reduced visibilities. Removable landing gear and arms allow for UAV storage.</w:t>
        </w:r>
        <w:r w:rsidR="0010654D">
          <w:rPr>
            <w:webHidden/>
          </w:rPr>
          <w:tab/>
        </w:r>
        <w:r w:rsidR="0010654D">
          <w:rPr>
            <w:webHidden/>
          </w:rPr>
          <w:fldChar w:fldCharType="begin"/>
        </w:r>
        <w:r w:rsidR="0010654D">
          <w:rPr>
            <w:webHidden/>
          </w:rPr>
          <w:instrText xml:space="preserve"> PAGEREF _Toc152692071 \h </w:instrText>
        </w:r>
        <w:r w:rsidR="0010654D">
          <w:rPr>
            <w:webHidden/>
          </w:rPr>
        </w:r>
        <w:r w:rsidR="0010654D">
          <w:rPr>
            <w:webHidden/>
          </w:rPr>
          <w:fldChar w:fldCharType="separate"/>
        </w:r>
        <w:r w:rsidR="0010654D">
          <w:rPr>
            <w:webHidden/>
          </w:rPr>
          <w:t>23</w:t>
        </w:r>
        <w:r w:rsidR="0010654D">
          <w:rPr>
            <w:webHidden/>
          </w:rPr>
          <w:fldChar w:fldCharType="end"/>
        </w:r>
      </w:hyperlink>
    </w:p>
    <w:p w14:paraId="3EEF1CBE" w14:textId="3067605E"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72" w:history="1">
        <w:r w:rsidR="0010654D" w:rsidRPr="00772B8C">
          <w:rPr>
            <w:rStyle w:val="Hyperlink"/>
          </w:rPr>
          <w:t>Table 4: A table showing the serial and sampling rate configurations for the IMet-XQ2, MiniOFS, and R.M. Young Anemometer.</w:t>
        </w:r>
        <w:r w:rsidR="0010654D">
          <w:rPr>
            <w:webHidden/>
          </w:rPr>
          <w:tab/>
        </w:r>
        <w:r w:rsidR="0010654D">
          <w:rPr>
            <w:webHidden/>
          </w:rPr>
          <w:fldChar w:fldCharType="begin"/>
        </w:r>
        <w:r w:rsidR="0010654D">
          <w:rPr>
            <w:webHidden/>
          </w:rPr>
          <w:instrText xml:space="preserve"> PAGEREF _Toc152692072 \h </w:instrText>
        </w:r>
        <w:r w:rsidR="0010654D">
          <w:rPr>
            <w:webHidden/>
          </w:rPr>
        </w:r>
        <w:r w:rsidR="0010654D">
          <w:rPr>
            <w:webHidden/>
          </w:rPr>
          <w:fldChar w:fldCharType="separate"/>
        </w:r>
        <w:r w:rsidR="0010654D">
          <w:rPr>
            <w:webHidden/>
          </w:rPr>
          <w:t>30</w:t>
        </w:r>
        <w:r w:rsidR="0010654D">
          <w:rPr>
            <w:webHidden/>
          </w:rPr>
          <w:fldChar w:fldCharType="end"/>
        </w:r>
      </w:hyperlink>
    </w:p>
    <w:p w14:paraId="762E72B9" w14:textId="45D8A01D"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73" w:history="1">
        <w:r w:rsidR="0010654D" w:rsidRPr="00772B8C">
          <w:rPr>
            <w:rStyle w:val="Hyperlink"/>
          </w:rPr>
          <w:t>Table 5: Vertical profiles performed during the March 2023 UAV flights. Times reported are in central standard time.</w:t>
        </w:r>
        <w:r w:rsidR="0010654D">
          <w:rPr>
            <w:webHidden/>
          </w:rPr>
          <w:tab/>
        </w:r>
        <w:r w:rsidR="0010654D">
          <w:rPr>
            <w:webHidden/>
          </w:rPr>
          <w:fldChar w:fldCharType="begin"/>
        </w:r>
        <w:r w:rsidR="0010654D">
          <w:rPr>
            <w:webHidden/>
          </w:rPr>
          <w:instrText xml:space="preserve"> PAGEREF _Toc152692073 \h </w:instrText>
        </w:r>
        <w:r w:rsidR="0010654D">
          <w:rPr>
            <w:webHidden/>
          </w:rPr>
        </w:r>
        <w:r w:rsidR="0010654D">
          <w:rPr>
            <w:webHidden/>
          </w:rPr>
          <w:fldChar w:fldCharType="separate"/>
        </w:r>
        <w:r w:rsidR="0010654D">
          <w:rPr>
            <w:webHidden/>
          </w:rPr>
          <w:t>47</w:t>
        </w:r>
        <w:r w:rsidR="0010654D">
          <w:rPr>
            <w:webHidden/>
          </w:rPr>
          <w:fldChar w:fldCharType="end"/>
        </w:r>
      </w:hyperlink>
    </w:p>
    <w:p w14:paraId="6EF40AE8" w14:textId="5B960C41" w:rsidR="0010654D" w:rsidRDefault="00C0408C" w:rsidP="00A80529">
      <w:pPr>
        <w:pStyle w:val="TableofFigures"/>
        <w:tabs>
          <w:tab w:val="right" w:leader="dot" w:pos="9350"/>
        </w:tabs>
        <w:jc w:val="both"/>
        <w:rPr>
          <w:rFonts w:asciiTheme="minorHAnsi" w:eastAsiaTheme="minorEastAsia" w:hAnsiTheme="minorHAnsi"/>
          <w:i w:val="0"/>
          <w:kern w:val="2"/>
          <w:sz w:val="22"/>
          <w14:ligatures w14:val="standardContextual"/>
        </w:rPr>
      </w:pPr>
      <w:hyperlink w:anchor="_Toc152692074" w:history="1">
        <w:r w:rsidR="0010654D" w:rsidRPr="00772B8C">
          <w:rPr>
            <w:rStyle w:val="Hyperlink"/>
          </w:rPr>
          <w:t>Table 6: A table representing average yearly mist and/or fog occurrences recorded by KGFK. Wind speed thresholds are represented on the rows and both temperature and present weather type are represented on the columns. “FG” is the code for fog and “BR” is the code for mist.</w:t>
        </w:r>
        <w:r w:rsidR="0010654D">
          <w:rPr>
            <w:webHidden/>
          </w:rPr>
          <w:tab/>
        </w:r>
        <w:r w:rsidR="0010654D">
          <w:rPr>
            <w:webHidden/>
          </w:rPr>
          <w:fldChar w:fldCharType="begin"/>
        </w:r>
        <w:r w:rsidR="0010654D">
          <w:rPr>
            <w:webHidden/>
          </w:rPr>
          <w:instrText xml:space="preserve"> PAGEREF _Toc152692074 \h </w:instrText>
        </w:r>
        <w:r w:rsidR="0010654D">
          <w:rPr>
            <w:webHidden/>
          </w:rPr>
        </w:r>
        <w:r w:rsidR="0010654D">
          <w:rPr>
            <w:webHidden/>
          </w:rPr>
          <w:fldChar w:fldCharType="separate"/>
        </w:r>
        <w:r w:rsidR="0010654D">
          <w:rPr>
            <w:webHidden/>
          </w:rPr>
          <w:t>74</w:t>
        </w:r>
        <w:r w:rsidR="0010654D">
          <w:rPr>
            <w:webHidden/>
          </w:rPr>
          <w:fldChar w:fldCharType="end"/>
        </w:r>
      </w:hyperlink>
    </w:p>
    <w:p w14:paraId="67A32618" w14:textId="736BDEAC" w:rsidR="00D93191" w:rsidRPr="00D93191" w:rsidRDefault="00092EE3" w:rsidP="00092EE3">
      <w:pPr>
        <w:pStyle w:val="Heading1"/>
        <w:ind w:left="0" w:firstLine="0"/>
        <w:jc w:val="left"/>
        <w:rPr>
          <w:b w:val="0"/>
          <w:bCs w:val="0"/>
          <w:i/>
          <w:iCs/>
        </w:rPr>
      </w:pPr>
      <w:r>
        <w:fldChar w:fldCharType="end"/>
      </w:r>
      <w:r w:rsidR="00D93191">
        <w:rPr>
          <w:i/>
          <w:iCs/>
        </w:rPr>
        <w:br w:type="page"/>
      </w:r>
    </w:p>
    <w:p w14:paraId="3A416503" w14:textId="2414EA3C" w:rsidR="004C00FB" w:rsidRDefault="004C00FB" w:rsidP="008739B9">
      <w:pPr>
        <w:pStyle w:val="Heading1"/>
      </w:pPr>
      <w:bookmarkStart w:id="3" w:name="_Toc152692007"/>
      <w:r>
        <w:lastRenderedPageBreak/>
        <w:t>ACKNOWLEDGEMENTS</w:t>
      </w:r>
      <w:bookmarkEnd w:id="3"/>
    </w:p>
    <w:p w14:paraId="15A667E0" w14:textId="2B60BA8F" w:rsidR="009F7775" w:rsidRPr="008739B9" w:rsidRDefault="00E01D6F" w:rsidP="008739B9">
      <w:pPr>
        <w:pStyle w:val="TextFormat"/>
      </w:pPr>
      <w:r w:rsidRPr="008739B9">
        <w:t xml:space="preserve">This research is supported under a National Science Foundation RAPID grant to conduct fog measurements. </w:t>
      </w:r>
      <w:r w:rsidR="009F7775" w:rsidRPr="008739B9">
        <w:t xml:space="preserve">Firstly, the author would like to thank Dr. David Delene for his instrumental guidance and support. </w:t>
      </w:r>
      <w:r w:rsidRPr="008739B9">
        <w:t xml:space="preserve">The </w:t>
      </w:r>
      <w:r w:rsidR="009F7775" w:rsidRPr="008739B9">
        <w:t>a</w:t>
      </w:r>
      <w:r w:rsidRPr="008739B9">
        <w:t>uthor would like to</w:t>
      </w:r>
      <w:r w:rsidR="009F7775" w:rsidRPr="008739B9">
        <w:t xml:space="preserve"> sincerely</w:t>
      </w:r>
      <w:r w:rsidRPr="008739B9">
        <w:t xml:space="preserve"> thank </w:t>
      </w:r>
      <w:r w:rsidR="009F7775" w:rsidRPr="008739B9">
        <w:t xml:space="preserve">the licensed </w:t>
      </w:r>
      <w:r w:rsidR="00605DE2">
        <w:t xml:space="preserve">Unmanned Aircraft </w:t>
      </w:r>
      <w:proofErr w:type="spellStart"/>
      <w:r w:rsidR="00605DE2">
        <w:t>Vehecle</w:t>
      </w:r>
      <w:proofErr w:type="spellEnd"/>
      <w:r w:rsidR="00605DE2">
        <w:t xml:space="preserve"> (</w:t>
      </w:r>
      <w:r w:rsidR="009F7775" w:rsidRPr="008739B9">
        <w:t>UAV</w:t>
      </w:r>
      <w:r w:rsidR="00605DE2">
        <w:t>)</w:t>
      </w:r>
      <w:r w:rsidR="009F7775" w:rsidRPr="008739B9">
        <w:t xml:space="preserve"> pilot </w:t>
      </w:r>
      <w:r w:rsidRPr="008739B9">
        <w:t>Alex Sailsbury, Weather Modification International Incorporated, Fargo, ND, for his tireless work in procuring and operating the UAV</w:t>
      </w:r>
      <w:r w:rsidR="009F7775" w:rsidRPr="008739B9">
        <w:t xml:space="preserve"> throughout the project. The author would also like </w:t>
      </w:r>
      <w:r w:rsidR="001251F3" w:rsidRPr="008739B9">
        <w:t>to specifically thank</w:t>
      </w:r>
      <w:r w:rsidR="009F7775" w:rsidRPr="008739B9">
        <w:t xml:space="preserve"> Dave Singewald for his </w:t>
      </w:r>
      <w:r w:rsidR="001251F3" w:rsidRPr="008739B9">
        <w:t xml:space="preserve">initial </w:t>
      </w:r>
      <w:r w:rsidR="009F7775" w:rsidRPr="008739B9">
        <w:t xml:space="preserve">guidance on wiring and electrical equipment, Nicholas Camp for his work during the UAV missions, </w:t>
      </w:r>
      <w:r w:rsidR="001251F3" w:rsidRPr="008739B9">
        <w:t xml:space="preserve">and Jennifer Moore for general project support. Without any of the individuals previously listed, this project would not have been remotely as successful. </w:t>
      </w:r>
    </w:p>
    <w:p w14:paraId="16F86DD4" w14:textId="6C45A4E5" w:rsidR="00916669" w:rsidRDefault="009F7775" w:rsidP="008739B9">
      <w:pPr>
        <w:pStyle w:val="TextFormat"/>
      </w:pPr>
      <w:r w:rsidRPr="008739B9">
        <w:t>Finally, the author would like to thank his family and friends</w:t>
      </w:r>
      <w:r w:rsidR="001251F3" w:rsidRPr="008739B9">
        <w:t>. To his family, the author expresses his upmost appreciation for their continuous love and support through</w:t>
      </w:r>
      <w:r w:rsidR="00CB6599" w:rsidRPr="008739B9">
        <w:t>out</w:t>
      </w:r>
      <w:r w:rsidR="001251F3" w:rsidRPr="008739B9">
        <w:t xml:space="preserve"> everything life </w:t>
      </w:r>
      <w:r w:rsidR="00CB6599" w:rsidRPr="008739B9">
        <w:t>has thrown</w:t>
      </w:r>
      <w:r w:rsidR="00275186" w:rsidRPr="008739B9">
        <w:t>, even though we are thousands of miles apart</w:t>
      </w:r>
      <w:r w:rsidR="001251F3" w:rsidRPr="008739B9">
        <w:t xml:space="preserve">. To his friends within the UND community, </w:t>
      </w:r>
      <w:r w:rsidR="00275186" w:rsidRPr="008739B9">
        <w:t xml:space="preserve">the </w:t>
      </w:r>
      <w:r w:rsidR="00CB6599" w:rsidRPr="008739B9">
        <w:t>camaraderie</w:t>
      </w:r>
      <w:r w:rsidR="00275186" w:rsidRPr="008739B9">
        <w:t xml:space="preserve"> grown over the years will be something the author will always cherish and never forget. To his friends outside the UND community, the author expresses his gratitude for all the support and patience while working on his graduate degree.</w:t>
      </w:r>
      <w:r w:rsidR="00916669">
        <w:br w:type="page"/>
      </w:r>
    </w:p>
    <w:p w14:paraId="6246F603" w14:textId="5758AE3A" w:rsidR="00916669" w:rsidRPr="008739B9" w:rsidRDefault="00916669" w:rsidP="008739B9">
      <w:pPr>
        <w:pStyle w:val="Heading1"/>
      </w:pPr>
      <w:bookmarkStart w:id="4" w:name="_Toc152692008"/>
      <w:r w:rsidRPr="008739B9">
        <w:lastRenderedPageBreak/>
        <w:t>ABSTRACT</w:t>
      </w:r>
      <w:bookmarkEnd w:id="4"/>
    </w:p>
    <w:p w14:paraId="22508E43" w14:textId="201C6A23" w:rsidR="003F1A35" w:rsidRPr="008739B9" w:rsidRDefault="00B53639" w:rsidP="005857A8">
      <w:pPr>
        <w:pStyle w:val="TextFormat"/>
      </w:pPr>
      <w:r w:rsidRPr="008739B9">
        <w:t xml:space="preserve">The tremendous </w:t>
      </w:r>
      <w:r w:rsidR="002857C1" w:rsidRPr="008739B9">
        <w:t>safety and monetary</w:t>
      </w:r>
      <w:r w:rsidR="00707752" w:rsidRPr="008739B9">
        <w:t xml:space="preserve"> </w:t>
      </w:r>
      <w:r w:rsidRPr="008739B9">
        <w:t>impact</w:t>
      </w:r>
      <w:r w:rsidR="00707752" w:rsidRPr="008739B9">
        <w:t>s</w:t>
      </w:r>
      <w:r w:rsidRPr="008739B9">
        <w:t xml:space="preserve"> of </w:t>
      </w:r>
      <w:r w:rsidR="00707752" w:rsidRPr="008739B9">
        <w:t xml:space="preserve">long-duration </w:t>
      </w:r>
      <w:r w:rsidRPr="008739B9">
        <w:t>fog</w:t>
      </w:r>
      <w:r w:rsidR="00707752" w:rsidRPr="008739B9">
        <w:t xml:space="preserve"> events</w:t>
      </w:r>
      <w:r w:rsidRPr="008739B9">
        <w:t xml:space="preserve"> </w:t>
      </w:r>
      <w:r w:rsidR="00707752" w:rsidRPr="008739B9">
        <w:t xml:space="preserve">continue to spur interest in its </w:t>
      </w:r>
      <w:r w:rsidRPr="008739B9">
        <w:t>anthropogenic dissipation.</w:t>
      </w:r>
      <w:r w:rsidR="00707752" w:rsidRPr="008739B9">
        <w:t xml:space="preserve"> With the emergence of </w:t>
      </w:r>
      <w:r w:rsidR="00DA3092" w:rsidRPr="008739B9">
        <w:t xml:space="preserve">the </w:t>
      </w:r>
      <w:r w:rsidR="00707752" w:rsidRPr="008739B9">
        <w:t>Unmanned Aircraft Systems (UAS) platform and the development of miniaturized atmospheric sensors,</w:t>
      </w:r>
      <w:r w:rsidR="00DA3092" w:rsidRPr="008739B9">
        <w:t xml:space="preserve"> more efficient methods of fog research and anthropogenic fog dispersal may be achieved.</w:t>
      </w:r>
      <w:r w:rsidRPr="008739B9">
        <w:t xml:space="preserve"> </w:t>
      </w:r>
      <w:r w:rsidR="00D662F5">
        <w:t>T</w:t>
      </w:r>
      <w:r w:rsidR="00916669" w:rsidRPr="008739B9">
        <w:t>he feasibility of a supercooled fog dispersal project in the Red River Valley</w:t>
      </w:r>
      <w:r w:rsidR="00D662F5">
        <w:t xml:space="preserve"> </w:t>
      </w:r>
      <w:r w:rsidR="00916669" w:rsidRPr="008739B9">
        <w:t xml:space="preserve">and the efficacy of </w:t>
      </w:r>
      <w:r w:rsidR="00D662F5">
        <w:t xml:space="preserve">using </w:t>
      </w:r>
      <w:r w:rsidR="00916669" w:rsidRPr="008739B9">
        <w:t xml:space="preserve">the UAS platform </w:t>
      </w:r>
      <w:r w:rsidR="00D662F5">
        <w:t>to</w:t>
      </w:r>
      <w:r w:rsidR="00916669" w:rsidRPr="008739B9">
        <w:t xml:space="preserve"> acquir</w:t>
      </w:r>
      <w:r w:rsidR="00D662F5">
        <w:t>e</w:t>
      </w:r>
      <w:r w:rsidR="00916669" w:rsidRPr="008739B9">
        <w:t xml:space="preserve"> </w:t>
      </w:r>
      <w:r w:rsidRPr="008739B9">
        <w:t>in-situ fog microphysical data</w:t>
      </w:r>
      <w:r w:rsidR="00217819">
        <w:t xml:space="preserve"> are explored</w:t>
      </w:r>
      <w:r w:rsidR="00916669" w:rsidRPr="008739B9">
        <w:t>.</w:t>
      </w:r>
      <w:r w:rsidR="00DA3092" w:rsidRPr="008739B9">
        <w:t xml:space="preserve"> </w:t>
      </w:r>
      <w:r w:rsidR="002857C1" w:rsidRPr="008739B9">
        <w:t xml:space="preserve">A </w:t>
      </w:r>
      <w:r w:rsidR="00DA3092" w:rsidRPr="008739B9">
        <w:t>30-year climatolog</w:t>
      </w:r>
      <w:r w:rsidR="002857C1" w:rsidRPr="008739B9">
        <w:t xml:space="preserve">y of the Red River Valley </w:t>
      </w:r>
      <w:r w:rsidR="00D662F5">
        <w:t xml:space="preserve">indicates </w:t>
      </w:r>
      <w:r w:rsidR="002857C1" w:rsidRPr="008739B9">
        <w:t xml:space="preserve">increased supercooled fog potential between early November through early April, peaking in March. </w:t>
      </w:r>
      <w:r w:rsidR="00AE2E86" w:rsidRPr="008739B9">
        <w:t xml:space="preserve">Five </w:t>
      </w:r>
      <w:r w:rsidR="00F4314A">
        <w:t>UAS</w:t>
      </w:r>
      <w:r w:rsidR="00AE2E86">
        <w:t xml:space="preserve"> </w:t>
      </w:r>
      <w:r w:rsidR="00AE2E86" w:rsidRPr="008739B9">
        <w:t>missions conducted during March of 2023 demonstrate</w:t>
      </w:r>
      <w:r w:rsidR="00AE2E86">
        <w:t xml:space="preserve"> </w:t>
      </w:r>
      <w:r w:rsidR="00AE2E86" w:rsidRPr="008739B9">
        <w:t>in-situ</w:t>
      </w:r>
      <w:r w:rsidR="00AE2E86">
        <w:t xml:space="preserve">, </w:t>
      </w:r>
      <w:r w:rsidR="00AE2E86" w:rsidRPr="008739B9">
        <w:t xml:space="preserve">boundary layer </w:t>
      </w:r>
      <w:r w:rsidR="00AE2E86">
        <w:t xml:space="preserve">measurements </w:t>
      </w:r>
      <w:r w:rsidR="00AE2E86" w:rsidRPr="008739B9">
        <w:t>in both high- and low-visibility conditions.</w:t>
      </w:r>
      <w:r w:rsidR="00AE2E86">
        <w:t xml:space="preserve"> </w:t>
      </w:r>
      <w:r w:rsidR="007A0042" w:rsidRPr="008739B9">
        <w:t xml:space="preserve">The </w:t>
      </w:r>
      <w:r w:rsidR="00D11E5F" w:rsidRPr="008739B9">
        <w:t>IMet-XQ2</w:t>
      </w:r>
      <w:r w:rsidR="007A0042" w:rsidRPr="008739B9">
        <w:t xml:space="preserve"> (temperature, humidity</w:t>
      </w:r>
      <w:r w:rsidR="006623CA">
        <w:t>, and location</w:t>
      </w:r>
      <w:r w:rsidR="007A0042" w:rsidRPr="008739B9">
        <w:t>)</w:t>
      </w:r>
      <w:r w:rsidR="00D11E5F" w:rsidRPr="008739B9">
        <w:t xml:space="preserve"> and MiniOFS</w:t>
      </w:r>
      <w:r w:rsidR="007A0042" w:rsidRPr="008739B9">
        <w:t xml:space="preserve"> (visibility)</w:t>
      </w:r>
      <w:r w:rsidR="00D11E5F" w:rsidRPr="008739B9">
        <w:t xml:space="preserve"> </w:t>
      </w:r>
      <w:r w:rsidR="007A0042" w:rsidRPr="008739B9">
        <w:t>instruments</w:t>
      </w:r>
      <w:r w:rsidR="00D11E5F" w:rsidRPr="008739B9">
        <w:t xml:space="preserve"> </w:t>
      </w:r>
      <w:r w:rsidR="003F5EB2">
        <w:t>deployed on the UAS</w:t>
      </w:r>
      <w:r w:rsidR="001F6FE6">
        <w:t xml:space="preserve"> platform</w:t>
      </w:r>
      <w:r w:rsidR="003F5EB2">
        <w:t xml:space="preserve"> compare well to</w:t>
      </w:r>
      <w:r w:rsidR="007A0042" w:rsidRPr="008739B9">
        <w:t xml:space="preserve"> </w:t>
      </w:r>
      <w:r w:rsidR="00DD5768">
        <w:t>surface</w:t>
      </w:r>
      <w:r w:rsidR="007A0042" w:rsidRPr="008739B9">
        <w:t xml:space="preserve"> counterparts</w:t>
      </w:r>
      <w:r w:rsidR="00DD5768">
        <w:t xml:space="preserve"> and</w:t>
      </w:r>
      <w:r w:rsidR="007A0042" w:rsidRPr="008739B9">
        <w:t xml:space="preserve"> performed </w:t>
      </w:r>
      <w:r w:rsidR="0005779C" w:rsidRPr="008739B9">
        <w:t>sufficiently</w:t>
      </w:r>
      <w:r w:rsidR="007A0042" w:rsidRPr="008739B9">
        <w:t xml:space="preserve"> for proper representation of the atmosphere</w:t>
      </w:r>
      <w:r w:rsidR="00DD5768">
        <w:t>;</w:t>
      </w:r>
      <w:r w:rsidR="007A0042" w:rsidRPr="008739B9">
        <w:t xml:space="preserve"> however</w:t>
      </w:r>
      <w:r w:rsidR="00DD5768">
        <w:t>,</w:t>
      </w:r>
      <w:r w:rsidR="007A0042" w:rsidRPr="008739B9">
        <w:t xml:space="preserve"> aspiration of the sensors is essential </w:t>
      </w:r>
      <w:r w:rsidR="00DD5768">
        <w:t>for</w:t>
      </w:r>
      <w:r w:rsidR="007A0042" w:rsidRPr="008739B9">
        <w:t xml:space="preserve"> accurate measurements. The MiniOFS overestimate</w:t>
      </w:r>
      <w:r w:rsidR="00DD5768">
        <w:t>s</w:t>
      </w:r>
      <w:r w:rsidR="007A0042" w:rsidRPr="008739B9">
        <w:t xml:space="preserve"> </w:t>
      </w:r>
      <w:r w:rsidR="00442CD8" w:rsidRPr="008739B9">
        <w:t>low-visibility events</w:t>
      </w:r>
      <w:r w:rsidR="001F6FE6">
        <w:t xml:space="preserve"> whereas the IMet-XQ2 relative humidity sensor underestimates moist atmospheres. </w:t>
      </w:r>
      <w:r w:rsidR="0005779C" w:rsidRPr="008739B9">
        <w:t xml:space="preserve">Vertical </w:t>
      </w:r>
      <w:r w:rsidR="006623CA" w:rsidRPr="008739B9">
        <w:t>profiling</w:t>
      </w:r>
      <w:r w:rsidR="0005779C" w:rsidRPr="008739B9">
        <w:t xml:space="preserve"> of two fog events successfully resolved the fog layer</w:t>
      </w:r>
      <w:r w:rsidR="00544D25">
        <w:t>s</w:t>
      </w:r>
      <w:r w:rsidR="0005779C" w:rsidRPr="008739B9">
        <w:t xml:space="preserve"> and determined fog-top heights of </w:t>
      </w:r>
      <w:r w:rsidR="005857A8">
        <w:t>114 m (</w:t>
      </w:r>
      <w:r w:rsidR="0005779C" w:rsidRPr="008739B9">
        <w:t>375 ft</w:t>
      </w:r>
      <w:r w:rsidR="005857A8">
        <w:t>)</w:t>
      </w:r>
      <w:r w:rsidR="0005779C" w:rsidRPr="008739B9">
        <w:t xml:space="preserve"> and </w:t>
      </w:r>
      <w:r w:rsidR="005857A8">
        <w:t>92 m (</w:t>
      </w:r>
      <w:r w:rsidR="0005779C" w:rsidRPr="008739B9">
        <w:t>300 ft</w:t>
      </w:r>
      <w:r w:rsidR="005857A8">
        <w:t>)</w:t>
      </w:r>
      <w:r w:rsidR="0005779C" w:rsidRPr="008739B9">
        <w:t xml:space="preserve"> AGL. </w:t>
      </w:r>
      <w:r w:rsidR="00AE2E86">
        <w:t>During the last mission, a</w:t>
      </w:r>
      <w:r w:rsidR="0005779C" w:rsidRPr="008739B9">
        <w:t xml:space="preserve"> strong temperature inversion </w:t>
      </w:r>
      <w:r w:rsidR="00DD5768">
        <w:t xml:space="preserve">is present at </w:t>
      </w:r>
      <w:r w:rsidR="008C19CF" w:rsidRPr="008739B9">
        <w:t xml:space="preserve">the </w:t>
      </w:r>
      <w:r w:rsidR="005973C5">
        <w:t xml:space="preserve">fog layer </w:t>
      </w:r>
      <w:r w:rsidR="008C19CF" w:rsidRPr="008739B9">
        <w:t>top.</w:t>
      </w:r>
      <w:r w:rsidR="00AE2E86">
        <w:t xml:space="preserve"> </w:t>
      </w:r>
      <w:r w:rsidR="00DB68EE">
        <w:t>T</w:t>
      </w:r>
      <w:r w:rsidR="00AE2E86">
        <w:t xml:space="preserve">he UAS platform </w:t>
      </w:r>
      <w:r w:rsidR="00DB68EE">
        <w:t>is</w:t>
      </w:r>
      <w:r w:rsidR="00AB2281">
        <w:t xml:space="preserve"> deemed</w:t>
      </w:r>
      <w:r w:rsidR="00DB68EE">
        <w:t xml:space="preserve"> sufficient for in-situ data acquisition within the boundary </w:t>
      </w:r>
      <w:proofErr w:type="gramStart"/>
      <w:r w:rsidR="00DB68EE">
        <w:t>layer</w:t>
      </w:r>
      <w:r w:rsidR="00AB2281">
        <w:t>;</w:t>
      </w:r>
      <w:proofErr w:type="gramEnd"/>
      <w:r w:rsidR="00AB2281">
        <w:t xml:space="preserve"> whereas</w:t>
      </w:r>
      <w:r w:rsidR="00DB68EE">
        <w:t xml:space="preserve"> </w:t>
      </w:r>
      <w:r w:rsidR="00157741">
        <w:t>a low average of 14 hours of supercooled fog per year indicate a need for additional cost effectiveness assessments for Red River Valley fog abatement feasibility</w:t>
      </w:r>
      <w:r w:rsidR="00DB68EE">
        <w:t>.</w:t>
      </w:r>
      <w:r w:rsidR="005857A8">
        <w:t xml:space="preserve"> </w:t>
      </w:r>
      <w:r w:rsidR="005857A8">
        <w:br w:type="page"/>
      </w:r>
    </w:p>
    <w:p w14:paraId="5F3FDCF3" w14:textId="0BAA6417" w:rsidR="00591818" w:rsidRPr="00205AAE" w:rsidRDefault="00591818" w:rsidP="008739B9">
      <w:pPr>
        <w:pStyle w:val="Heading1"/>
      </w:pPr>
      <w:bookmarkStart w:id="5" w:name="_Toc152692009"/>
      <w:r w:rsidRPr="002976D4">
        <w:lastRenderedPageBreak/>
        <w:t xml:space="preserve">CHAPTER </w:t>
      </w:r>
      <w:r w:rsidRPr="00205AAE">
        <w:t>I</w:t>
      </w:r>
      <w:r w:rsidRPr="002976D4">
        <w:t>: INTRODUCTION</w:t>
      </w:r>
      <w:bookmarkEnd w:id="5"/>
    </w:p>
    <w:p w14:paraId="54FA8931" w14:textId="1171C804" w:rsidR="00134E40" w:rsidRPr="008739B9" w:rsidRDefault="00086131" w:rsidP="008739B9">
      <w:pPr>
        <w:pStyle w:val="TextFormat"/>
      </w:pPr>
      <w:r w:rsidRPr="008739B9">
        <w:t>There is vested interest in the anthropo</w:t>
      </w:r>
      <w:r w:rsidR="00B53639" w:rsidRPr="008739B9">
        <w:t>genic</w:t>
      </w:r>
      <w:r w:rsidRPr="008739B9">
        <w:t xml:space="preserve"> dissipation of fog</w:t>
      </w:r>
      <w:r w:rsidR="004E11A3" w:rsidRPr="008739B9">
        <w:t>. Long</w:t>
      </w:r>
      <w:r w:rsidR="00694CA4" w:rsidRPr="008739B9">
        <w:t xml:space="preserve"> </w:t>
      </w:r>
      <w:r w:rsidR="00E7524E" w:rsidRPr="008739B9">
        <w:t>duration</w:t>
      </w:r>
      <w:r w:rsidR="00130A92" w:rsidRPr="008739B9">
        <w:t>,</w:t>
      </w:r>
      <w:r w:rsidR="00E7524E" w:rsidRPr="008739B9">
        <w:t xml:space="preserve"> </w:t>
      </w:r>
      <w:r w:rsidR="00371F3E" w:rsidRPr="008739B9">
        <w:t>dense fog</w:t>
      </w:r>
      <w:r w:rsidR="004E11A3" w:rsidRPr="008739B9">
        <w:t xml:space="preserve"> events can induce crippling</w:t>
      </w:r>
      <w:r w:rsidR="00130A92" w:rsidRPr="008739B9">
        <w:t xml:space="preserve"> so</w:t>
      </w:r>
      <w:r w:rsidR="004E11A3" w:rsidRPr="008739B9">
        <w:t>cietal and economic impacts</w:t>
      </w:r>
      <w:r w:rsidR="00130A92" w:rsidRPr="008739B9">
        <w:t>;</w:t>
      </w:r>
      <w:r w:rsidRPr="008739B9">
        <w:t xml:space="preserve"> </w:t>
      </w:r>
      <w:r w:rsidR="00530EE9" w:rsidRPr="008739B9">
        <w:t>particularly</w:t>
      </w:r>
      <w:r w:rsidR="00130A92" w:rsidRPr="008739B9">
        <w:t>,</w:t>
      </w:r>
      <w:r w:rsidR="00530EE9" w:rsidRPr="008739B9">
        <w:t xml:space="preserve"> for the aviation industry</w:t>
      </w:r>
      <w:r w:rsidR="004E11A3" w:rsidRPr="008739B9">
        <w:t xml:space="preserve">. </w:t>
      </w:r>
      <w:r w:rsidR="00F1330B" w:rsidRPr="008739B9">
        <w:t>Model-based p</w:t>
      </w:r>
      <w:r w:rsidR="00D25B5A" w:rsidRPr="008739B9">
        <w:t xml:space="preserve">rediction </w:t>
      </w:r>
      <w:r w:rsidR="004F4964" w:rsidRPr="008739B9">
        <w:t xml:space="preserve">of fog </w:t>
      </w:r>
      <w:r w:rsidR="0025632D" w:rsidRPr="008739B9">
        <w:t xml:space="preserve">remains lackluster </w:t>
      </w:r>
      <w:r w:rsidR="00725363" w:rsidRPr="008739B9">
        <w:t xml:space="preserve">due </w:t>
      </w:r>
      <w:r w:rsidR="00D364C6" w:rsidRPr="008739B9">
        <w:t>to computational constraints</w:t>
      </w:r>
      <w:r w:rsidR="004E11A3" w:rsidRPr="008739B9">
        <w:t xml:space="preserve"> and an absence of detailed </w:t>
      </w:r>
      <w:r w:rsidR="00DA0182" w:rsidRPr="008739B9">
        <w:t xml:space="preserve">microphysical </w:t>
      </w:r>
      <w:r w:rsidR="004E11A3" w:rsidRPr="008739B9">
        <w:t xml:space="preserve">knowledge within the </w:t>
      </w:r>
      <w:r w:rsidR="00DE5B2A" w:rsidRPr="008739B9">
        <w:t>cloud l</w:t>
      </w:r>
      <w:r w:rsidR="004E11A3" w:rsidRPr="008739B9">
        <w:t xml:space="preserve">ayer. The recent emergence of unmanned aircraft </w:t>
      </w:r>
      <w:r w:rsidR="00F934A9" w:rsidRPr="008739B9">
        <w:t>systems</w:t>
      </w:r>
      <w:r w:rsidR="004E11A3" w:rsidRPr="008739B9">
        <w:t xml:space="preserve"> (UA</w:t>
      </w:r>
      <w:r w:rsidR="00F934A9" w:rsidRPr="008739B9">
        <w:t>S</w:t>
      </w:r>
      <w:r w:rsidR="004E11A3" w:rsidRPr="008739B9">
        <w:t xml:space="preserve">) has resulted in an examination of </w:t>
      </w:r>
      <w:r w:rsidR="00130A92" w:rsidRPr="008739B9">
        <w:t xml:space="preserve">how </w:t>
      </w:r>
      <w:r w:rsidR="00954E6A" w:rsidRPr="008739B9">
        <w:t>the platform</w:t>
      </w:r>
      <w:r w:rsidR="00130A92" w:rsidRPr="008739B9">
        <w:t xml:space="preserve"> could be employed for</w:t>
      </w:r>
      <w:r w:rsidR="004E11A3" w:rsidRPr="008739B9">
        <w:t xml:space="preserve"> operational fog abatement projects</w:t>
      </w:r>
      <w:r w:rsidR="00130A92" w:rsidRPr="008739B9">
        <w:t>, such as the clearing of fog near airports</w:t>
      </w:r>
      <w:r w:rsidR="004E11A3" w:rsidRPr="008739B9">
        <w:t xml:space="preserve">. In tandem </w:t>
      </w:r>
      <w:r w:rsidR="00B92433" w:rsidRPr="008739B9">
        <w:t xml:space="preserve">with </w:t>
      </w:r>
      <w:r w:rsidR="004E11A3" w:rsidRPr="008739B9">
        <w:t xml:space="preserve">miniaturized atmospheric sensors, </w:t>
      </w:r>
      <w:r w:rsidR="00AE2EC7">
        <w:t>UAS</w:t>
      </w:r>
      <w:r w:rsidR="004E11A3" w:rsidRPr="008739B9">
        <w:t xml:space="preserve"> platform</w:t>
      </w:r>
      <w:r w:rsidR="004220B0" w:rsidRPr="008739B9">
        <w:t>s</w:t>
      </w:r>
      <w:r w:rsidR="004E11A3" w:rsidRPr="008739B9">
        <w:t xml:space="preserve"> ha</w:t>
      </w:r>
      <w:r w:rsidR="00F934A9" w:rsidRPr="008739B9">
        <w:t>ve</w:t>
      </w:r>
      <w:r w:rsidR="004E11A3" w:rsidRPr="008739B9">
        <w:t xml:space="preserve"> considerable potential to revolutionize in-situ data acquisition within the boundary layer </w:t>
      </w:r>
      <w:r w:rsidR="000E00BC" w:rsidRPr="008739B9">
        <w:t xml:space="preserve">and </w:t>
      </w:r>
      <w:r w:rsidR="00790AC2" w:rsidRPr="008739B9">
        <w:t xml:space="preserve">aid in </w:t>
      </w:r>
      <w:r w:rsidR="005D7E46" w:rsidRPr="008739B9">
        <w:t>fog</w:t>
      </w:r>
      <w:r w:rsidR="00B55F7B" w:rsidRPr="008739B9">
        <w:t xml:space="preserve">-related </w:t>
      </w:r>
      <w:r w:rsidR="00D02854" w:rsidRPr="008739B9">
        <w:t>research</w:t>
      </w:r>
      <w:r w:rsidR="004E11A3" w:rsidRPr="008739B9">
        <w:t xml:space="preserve">. </w:t>
      </w:r>
      <w:r w:rsidR="00C22CC1" w:rsidRPr="008739B9">
        <w:t>It is the objective of this study</w:t>
      </w:r>
      <w:r w:rsidR="00B92433" w:rsidRPr="008739B9">
        <w:t xml:space="preserve"> </w:t>
      </w:r>
      <w:r w:rsidR="004E11A3" w:rsidRPr="008739B9">
        <w:t xml:space="preserve">to determine </w:t>
      </w:r>
      <w:r w:rsidR="00C22CC1" w:rsidRPr="008739B9">
        <w:t xml:space="preserve">both </w:t>
      </w:r>
      <w:r w:rsidR="004E11A3" w:rsidRPr="008739B9">
        <w:t>the feasibility of a UA</w:t>
      </w:r>
      <w:r w:rsidR="00C22CC1" w:rsidRPr="008739B9">
        <w:t>S</w:t>
      </w:r>
      <w:r w:rsidR="004220B0" w:rsidRPr="008739B9">
        <w:t>-based</w:t>
      </w:r>
      <w:r w:rsidR="004E11A3" w:rsidRPr="008739B9">
        <w:t xml:space="preserve"> fog abatement project and </w:t>
      </w:r>
      <w:r w:rsidR="00C22CC1" w:rsidRPr="008739B9">
        <w:t>the efficacy of the UAS-platform to</w:t>
      </w:r>
      <w:r w:rsidR="00B92433" w:rsidRPr="008739B9">
        <w:t xml:space="preserve"> obtain </w:t>
      </w:r>
      <w:r w:rsidR="004220B0" w:rsidRPr="008739B9">
        <w:t>fog microphysical measurements</w:t>
      </w:r>
      <w:r w:rsidR="00B92433" w:rsidRPr="008739B9">
        <w:t xml:space="preserve"> within the Red River Valley </w:t>
      </w:r>
      <w:r w:rsidR="004220B0" w:rsidRPr="008739B9">
        <w:t>of eastern North Dakota and western Minnesota.</w:t>
      </w:r>
      <w:r w:rsidR="00B92433" w:rsidRPr="008739B9">
        <w:t xml:space="preserve"> </w:t>
      </w:r>
    </w:p>
    <w:p w14:paraId="46C5FD1D" w14:textId="01F5D8D3" w:rsidR="00A2335C" w:rsidRPr="008739B9" w:rsidRDefault="00311FAD" w:rsidP="008739B9">
      <w:pPr>
        <w:pStyle w:val="TextFormat"/>
      </w:pPr>
      <w:r w:rsidRPr="008739B9">
        <w:t xml:space="preserve">The </w:t>
      </w:r>
      <w:r w:rsidR="00D6404D" w:rsidRPr="008739B9">
        <w:t xml:space="preserve">detrimental </w:t>
      </w:r>
      <w:r w:rsidRPr="008739B9">
        <w:t xml:space="preserve">impact of fog on human safety and </w:t>
      </w:r>
      <w:r w:rsidR="002B2EFB" w:rsidRPr="008739B9">
        <w:t>local communities</w:t>
      </w:r>
      <w:r w:rsidRPr="008739B9">
        <w:t xml:space="preserve"> </w:t>
      </w:r>
      <w:r w:rsidR="00D6404D" w:rsidRPr="008739B9">
        <w:t xml:space="preserve">is well known. </w:t>
      </w:r>
      <w:r w:rsidR="007C286F" w:rsidRPr="008739B9">
        <w:t>According to the U.S. Department of Transportation</w:t>
      </w:r>
      <w:r w:rsidR="00D6404D" w:rsidRPr="008739B9">
        <w:t xml:space="preserve"> Federal Highway Administration</w:t>
      </w:r>
      <w:r w:rsidR="00A64B93" w:rsidRPr="008739B9">
        <w:t xml:space="preserve"> (2022)</w:t>
      </w:r>
      <w:r w:rsidR="007C286F" w:rsidRPr="008739B9">
        <w:t xml:space="preserve">, </w:t>
      </w:r>
      <w:r w:rsidR="009D3DC9" w:rsidRPr="008739B9">
        <w:t>over 38,700 vehicle crashes occur annually due to fog, resulting in 16,300 injuries and over 600 fatalities</w:t>
      </w:r>
      <w:r w:rsidR="00BE39EF" w:rsidRPr="008739B9">
        <w:t>.</w:t>
      </w:r>
      <w:r w:rsidR="0055268B" w:rsidRPr="008739B9">
        <w:t xml:space="preserve"> </w:t>
      </w:r>
      <w:r w:rsidR="0055268B" w:rsidRPr="008739B9">
        <w:fldChar w:fldCharType="begin"/>
      </w:r>
      <w:r w:rsidR="002976D4" w:rsidRPr="008739B9">
        <w:instrText xml:space="preserve"> ADDIN ZOTERO_ITEM CSL_CITATION {"citationID":"FlcVoOsV","properties":{"formattedCitation":"(Kroft et al. 2003)","plainCitation":"(Kroft et al. 2003)","dontUpdate":true,"noteIndex":0},"citationItems":[{"id":154,"uris":["http://zotero.org/users/local/LzhHb4Ct/items/CS54CAAP"],"itemData":{"id":154,"type":"book","abstract":"The Encyclopedia of Atmospheric Sciences is the first reference work to cover all aspects of the atmospheric sciences, including applications and theory. This print and online resource is designed for the industrial and applied research market as well as academic libraries. The scope of the work ranges from spectroscopy of atmospheric particles to weather prediction","event-place":"Amsterdam","ISBN":"978-0-12-227090-1","language":"eng","note":"OCLC: 48752862","number-of-pages":"2780","publisher":"Academic Press","publisher-place":"Amsterdam","source":"Open WorldCat","title":"Encyclopedia of atmospheric sciences","URL":"http://link.library.utoronto.ca/eir/EIRdetail.cfm?Resources__ID=978961&amp;T=F","author":[{"family":"Kroft","given":"P.J."},{"family":"Holton","given":"James R."},{"family":"Curry","given":"Judith A."},{"family":"Pyle","given":"J. A."}],"accessed":{"date-parts":[["2023",10,31]]},"issued":{"date-parts":[["2003"]]}}}],"schema":"https://github.com/citation-style-language/schema/raw/master/csl-citation.json"} </w:instrText>
      </w:r>
      <w:r w:rsidR="0055268B" w:rsidRPr="008739B9">
        <w:fldChar w:fldCharType="separate"/>
      </w:r>
      <w:r w:rsidR="0055268B" w:rsidRPr="008739B9">
        <w:t>Kroft et al. (2003)</w:t>
      </w:r>
      <w:r w:rsidR="0055268B" w:rsidRPr="008739B9">
        <w:fldChar w:fldCharType="end"/>
      </w:r>
      <w:r w:rsidR="004E16D6" w:rsidRPr="008739B9">
        <w:t xml:space="preserve"> </w:t>
      </w:r>
      <w:r w:rsidR="00635836" w:rsidRPr="008739B9">
        <w:t>shows</w:t>
      </w:r>
      <w:r w:rsidR="0055268B" w:rsidRPr="008739B9">
        <w:t xml:space="preserve"> that in fog-prone locations, up to 10</w:t>
      </w:r>
      <w:r w:rsidR="00480F2E" w:rsidRPr="008739B9">
        <w:t xml:space="preserve"> percent</w:t>
      </w:r>
      <w:r w:rsidR="0055268B" w:rsidRPr="008739B9">
        <w:t xml:space="preserve"> of all motor vehicle accidents </w:t>
      </w:r>
      <w:r w:rsidR="008B1011" w:rsidRPr="008739B9">
        <w:t>are attributable</w:t>
      </w:r>
      <w:r w:rsidR="0055268B" w:rsidRPr="008739B9">
        <w:t xml:space="preserve"> to visibility reductions due to fog. T</w:t>
      </w:r>
      <w:r w:rsidR="00242814" w:rsidRPr="008739B9">
        <w:t xml:space="preserve">ransportation </w:t>
      </w:r>
      <w:r w:rsidR="0055268B" w:rsidRPr="008739B9">
        <w:t xml:space="preserve">(air, sea, land) </w:t>
      </w:r>
      <w:r w:rsidR="00635836" w:rsidRPr="008739B9">
        <w:t xml:space="preserve">economic </w:t>
      </w:r>
      <w:r w:rsidR="007F73B8" w:rsidRPr="008739B9">
        <w:t>losses</w:t>
      </w:r>
      <w:r w:rsidR="00242814" w:rsidRPr="008739B9">
        <w:t xml:space="preserve"> </w:t>
      </w:r>
      <w:r w:rsidR="007F73B8" w:rsidRPr="008739B9">
        <w:t xml:space="preserve">due to impaired visibilities </w:t>
      </w:r>
      <w:r w:rsidR="00242814" w:rsidRPr="008739B9">
        <w:t>from fog can be comparable to losses from</w:t>
      </w:r>
      <w:r w:rsidR="00C92A62" w:rsidRPr="008739B9">
        <w:t xml:space="preserve"> </w:t>
      </w:r>
      <w:r w:rsidR="00242814" w:rsidRPr="008739B9">
        <w:t>intense tornado outbreaks and wintertime blizzards</w:t>
      </w:r>
      <w:r w:rsidR="0055268B" w:rsidRPr="008739B9">
        <w:t xml:space="preserve"> (</w:t>
      </w:r>
      <w:r w:rsidR="0055268B" w:rsidRPr="008739B9">
        <w:fldChar w:fldCharType="begin"/>
      </w:r>
      <w:r w:rsidR="002976D4" w:rsidRPr="008739B9">
        <w:instrText xml:space="preserve"> ADDIN ZOTERO_ITEM CSL_CITATION {"citationID":"lvTcWEfR","properties":{"formattedCitation":"(Gultepe et al. 2007)","plainCitation":"(Gultepe et al. 2007)","dontUpdate":true,"noteIndex":0},"citationItems":[{"id":72,"uris":["http://zotero.org/users/local/LzhHb4Ct/items/39QRB4K2"],"itemData":{"id":72,"type":"article-journal","abstract":"The scientific community that includes meteorologists, physical scientists, engineers, medical doctors, biologists, and environmentalists has shown interest in a better understanding of fog for years because of its effects on, directly or indirectly, the daily life of human beings. The total economic losses associated with the impact of the presence of fog on aviation, marine and land transportation can be comparable to those of tornadoes or, in some cases, winter storms and hurricanes. The number of articles including the word \"fog'' in Journals of American Meteorological Society alone was found to be about 4700, indicating that there is substantial interest in this subject. In spite of this extensive body of work, our ability to accurately forecast/nowcast fog remains limited due to our incomplete understanding of the fog processes over various time and space scales. Fog processes involve droplet microphysics, aerosol chemistry, radiation, turbulence, large/small-scale dynamics, and surface conditions (e.g., partaining to the presence of ice, snow, liquid, plants, and various types of soil). This review paper summarizes past achievements related to the understanding of fog formation, development and decay, and in this respect, the analysis of observations and the development of forecasting models and remote sensing methods are discussed in detail. Finally, future perspectives for fog-related research are highlighted.","container-title":"Pure and Applied Geophysics","journalAbbreviation":"Pure and Applied Geophysics","page":"1121-1159","source":"ResearchGate","title":"Fog research: A review of past achievements and future perspectives.","title-short":"Fog research","volume":"164","author":[{"family":"Gultepe","given":"Ismail"},{"family":"Tardif","given":"Robert"},{"family":"Michaelides","given":"Silas"},{"family":"Cermak","given":"Jan"},{"family":"Bott","given":"Andreas"},{"family":"Muller","given":"M."},{"family":"Pagowski","given":"Mariusz"},{"family":"Hansen","given":"B."},{"family":"Ellrod","given":"Gary"},{"family":"Jacobs","given":"W."},{"family":"Toth","given":"G."},{"family":"Cober","given":"S."}],"issued":{"date-parts":[["2007",6,1]]}}}],"schema":"https://github.com/citation-style-language/schema/raw/master/csl-citation.json"} </w:instrText>
      </w:r>
      <w:r w:rsidR="0055268B" w:rsidRPr="008739B9">
        <w:fldChar w:fldCharType="separate"/>
      </w:r>
      <w:r w:rsidR="0055268B" w:rsidRPr="008739B9">
        <w:t>Gultepe et al. 2007)</w:t>
      </w:r>
      <w:r w:rsidR="0055268B" w:rsidRPr="008739B9">
        <w:fldChar w:fldCharType="end"/>
      </w:r>
      <w:r w:rsidR="00242814" w:rsidRPr="008739B9">
        <w:t>.</w:t>
      </w:r>
      <w:r w:rsidR="008B1011" w:rsidRPr="008739B9">
        <w:t xml:space="preserve"> </w:t>
      </w:r>
      <w:r w:rsidR="005123E7" w:rsidRPr="008739B9">
        <w:t xml:space="preserve">Fog-related aviation issues arise from the obscuration of runways during aircraft landings, leading to costly diversions and unsafe attempted landings. </w:t>
      </w:r>
      <w:r w:rsidR="00480F2E" w:rsidRPr="008739B9">
        <w:t>Compared to all weather-related aviation accidents, r</w:t>
      </w:r>
      <w:r w:rsidR="00361918" w:rsidRPr="008739B9">
        <w:t>educed visibility comprise</w:t>
      </w:r>
      <w:r w:rsidR="004058F4" w:rsidRPr="008739B9">
        <w:t>s</w:t>
      </w:r>
      <w:r w:rsidR="00361918" w:rsidRPr="008739B9">
        <w:t xml:space="preserve"> 50</w:t>
      </w:r>
      <w:r w:rsidR="00C22CC1" w:rsidRPr="008739B9">
        <w:t xml:space="preserve"> </w:t>
      </w:r>
      <w:r w:rsidR="00361918" w:rsidRPr="008739B9">
        <w:t xml:space="preserve">and 21 </w:t>
      </w:r>
      <w:r w:rsidR="00C22CC1" w:rsidRPr="008739B9">
        <w:t xml:space="preserve">precent </w:t>
      </w:r>
      <w:r w:rsidR="00480F2E" w:rsidRPr="008739B9">
        <w:t xml:space="preserve">of </w:t>
      </w:r>
      <w:r w:rsidR="00361918" w:rsidRPr="008739B9">
        <w:t>accidents in Canada and United States</w:t>
      </w:r>
      <w:r w:rsidR="00480F2E" w:rsidRPr="008739B9">
        <w:t>,</w:t>
      </w:r>
      <w:r w:rsidR="00361918" w:rsidRPr="008739B9">
        <w:t xml:space="preserve"> respectively</w:t>
      </w:r>
      <w:r w:rsidR="00834560" w:rsidRPr="008739B9">
        <w:t xml:space="preserve"> </w:t>
      </w:r>
      <w:r w:rsidR="00834560" w:rsidRPr="008739B9">
        <w:fldChar w:fldCharType="begin"/>
      </w:r>
      <w:r w:rsidR="00834560" w:rsidRPr="008739B9">
        <w:instrText xml:space="preserve"> ADDIN ZOTERO_ITEM CSL_CITATION {"citationID":"TqmpzOg3","properties":{"formattedCitation":"(Gultepe et al. 2017)","plainCitation":"(Gultepe et al. 2017)","noteIndex":0},"citationItems":[{"id":104,"uris":["http://zotero.org/users/local/LzhHb4Ct/items/FEZHD89T"],"itemData":{"id":104,"type":"article-journal","abstract":"Abstract Ice fog is a natural, outdoor cloud laboratory that provides an excellent opportunity to study ice microphysical processes. Ice crystals in fog are formed through similar pathways as those in elevated clouds; that is, cloud condensation or ice nuclei are activated in an atmosphere supersaturated with respect to liquid water or ice. The primary differences between surface and elevated ice clouds are related to the sources of water vapor, the cooling mechanisms and dynamical processes leading to supersaturation, and the microphysical characteristics of the nuclei that affect ice fog crystal physical properties. As with any fog, its presence can be a hazard for ground or airborne traffic because of poor visibility and icing. In addition, ice fog plays a role in climate change by modulating the heat and moisture budgets. Ice fog wintertime occurrence in many parts of the world can have a significant impact on the environment. Global climate models need to accurately account for the temporal and spatial microphysical and optical properties of ice fog, as do weather forecast models. The primary handicap is the lack of adequate information on nucleation processes and microphysical algorithms that accurately represent glaciation of supercooled water fog. This chapter summarizes the current understanding of ice fog formation and evolution; discusses operating principles, limitations, and uncertainties associated with the instruments used to measure ice fog microphysical properties; describes the prediction of ice fog by the numerical forecast models and physical parameterizations used in climate models; identifies the outstanding questions to be resolved; and lists recommended actions to address and solve these questions.","container-title":"Meteorological Monographs","DOI":"10.1175/AMSMONOGRAPHS-D-17-0002.1","issue":"1","language":"EN","note":"publisher: American Meteorological Society\nsection: Meteorological Monographs","page":"4.1-4.24","source":"journals.ametsoc.org","title":"Ice Fog: The Current State of Knowledge and Future Challenges","title-short":"Ice Fog","volume":"58","author":[{"family":"Gultepe","given":"Ismail"},{"family":"Heymsfield","given":"Andrew J."},{"family":"Gallagher","given":"Martin"},{"family":"Ickes","given":"Luisa"},{"family":"Baumgardner","given":"Darrel"}],"issued":{"date-parts":[["2017",1,1]]}}}],"schema":"https://github.com/citation-style-language/schema/raw/master/csl-citation.json"} </w:instrText>
      </w:r>
      <w:r w:rsidR="00834560" w:rsidRPr="008739B9">
        <w:fldChar w:fldCharType="separate"/>
      </w:r>
      <w:r w:rsidR="00834560" w:rsidRPr="008739B9">
        <w:t xml:space="preserve">(Gultepe et al. </w:t>
      </w:r>
      <w:r w:rsidR="00834560" w:rsidRPr="008739B9">
        <w:lastRenderedPageBreak/>
        <w:t>2017)</w:t>
      </w:r>
      <w:r w:rsidR="00834560" w:rsidRPr="008739B9">
        <w:fldChar w:fldCharType="end"/>
      </w:r>
      <w:r w:rsidR="00834560" w:rsidRPr="008739B9">
        <w:t>.</w:t>
      </w:r>
      <w:r w:rsidR="00361918" w:rsidRPr="008739B9">
        <w:t xml:space="preserve"> </w:t>
      </w:r>
      <w:r w:rsidR="003A231A">
        <w:t>Of</w:t>
      </w:r>
      <w:r w:rsidR="00480F2E" w:rsidRPr="008739B9">
        <w:t xml:space="preserve"> </w:t>
      </w:r>
      <w:r w:rsidR="00911F87" w:rsidRPr="008739B9">
        <w:t xml:space="preserve">fatal </w:t>
      </w:r>
      <w:r w:rsidR="00635836" w:rsidRPr="008739B9">
        <w:t xml:space="preserve">weather-related </w:t>
      </w:r>
      <w:r w:rsidR="00911F87" w:rsidRPr="008739B9">
        <w:t xml:space="preserve">aviation accidents, fog </w:t>
      </w:r>
      <w:r w:rsidR="00635836" w:rsidRPr="008739B9">
        <w:t>(14</w:t>
      </w:r>
      <w:r w:rsidR="00A15FE1">
        <w:t xml:space="preserve"> </w:t>
      </w:r>
      <w:r w:rsidR="00635836" w:rsidRPr="008739B9">
        <w:t>%) and low ceilings (20</w:t>
      </w:r>
      <w:r w:rsidR="00A15FE1">
        <w:t xml:space="preserve"> </w:t>
      </w:r>
      <w:r w:rsidR="00635836" w:rsidRPr="008739B9">
        <w:t xml:space="preserve">%) are the most prevalent factors </w:t>
      </w:r>
      <w:r w:rsidR="00635836" w:rsidRPr="008739B9">
        <w:fldChar w:fldCharType="begin"/>
      </w:r>
      <w:r w:rsidR="00635836" w:rsidRPr="008739B9">
        <w:instrText xml:space="preserve"> ADDIN ZOTERO_ITEM CSL_CITATION {"citationID":"eRHdBU9c","properties":{"formattedCitation":"(Capobianco and Lee 2001)","plainCitation":"(Capobianco and Lee 2001)","noteIndex":0},"citationItems":[{"id":155,"uris":["http://zotero.org/users/local/LzhHb4Ct/items/TDAHF8IH"],"itemData":{"id":155,"type":"article-journal","abstract":"This paper discusses an analysis that was undertaken to identify the causes, contributing factors and associated issues of weather-related general aviation (GA) accidents to aid in the development of cockpit-based, aviation weather information (AWIN) systems. A total of 1520 GA accidents from 1995 to 1998 that reported at least one weather condition as a cause or contributing factor were selected from the NTSB Aviation Accident/Incident Database. The accident variables examined were accident year, injury severity, phase of operation, probable causes, contributing factors, meteorological and light conditions, pilot ratings and pilot experience. Results suggest the most prevalent factors in fatal weather accidents are low ceiling (20%), fog (14%), wind (10%), and night (9%). VFR to IMC flight and flight into adverse weather during the cruise phase are the most common probable causes of fatal weather accidents. Several scenarios primarily responsible for fatal weather accidents are identified and recommendations for AWIN system design are also presented.","container-title":"Proceedings of the Human Factors and Ergonomics Society Annual Meeting","DOI":"10.1177/154193120104500241","ISSN":"2169-5067","issue":"2","language":"en","note":"publisher: SAGE Publications Inc","page":"190-194","source":"SAGE Journals","title":"The Role of Weather in General Aviation Accidents: An Analysis of Causes, Contributing Factors and ISSUES","title-short":"The Role of Weather in General Aviation Accidents","volume":"45","author":[{"family":"Capobianco","given":"Gary"},{"family":"Lee","given":"Mark D."}],"issued":{"date-parts":[["2001",10,1]]}}}],"schema":"https://github.com/citation-style-language/schema/raw/master/csl-citation.json"} </w:instrText>
      </w:r>
      <w:r w:rsidR="00635836" w:rsidRPr="008739B9">
        <w:fldChar w:fldCharType="separate"/>
      </w:r>
      <w:r w:rsidR="00635836" w:rsidRPr="008739B9">
        <w:t>(Capobianco and Lee 2001)</w:t>
      </w:r>
      <w:r w:rsidR="00635836" w:rsidRPr="008739B9">
        <w:fldChar w:fldCharType="end"/>
      </w:r>
      <w:r w:rsidR="00635836" w:rsidRPr="008739B9">
        <w:t>.</w:t>
      </w:r>
    </w:p>
    <w:p w14:paraId="27023466" w14:textId="074036FE" w:rsidR="00C017B5" w:rsidRPr="008739B9" w:rsidRDefault="00C017B5" w:rsidP="008739B9">
      <w:pPr>
        <w:pStyle w:val="TextFormat"/>
      </w:pPr>
      <w:r w:rsidRPr="008739B9">
        <w:t xml:space="preserve">The international definition of fog constitutes an assortment of </w:t>
      </w:r>
      <w:r w:rsidR="003A231A">
        <w:t>small</w:t>
      </w:r>
      <w:r w:rsidRPr="008739B9">
        <w:t xml:space="preserve"> hydrometeors (water droplets</w:t>
      </w:r>
      <w:r w:rsidR="0095025E" w:rsidRPr="008739B9">
        <w:t xml:space="preserve"> or ice crystals</w:t>
      </w:r>
      <w:r w:rsidRPr="008739B9">
        <w:t>) suspended at the Earth’s surface that reduces horizontal visibility to a m</w:t>
      </w:r>
      <w:r w:rsidR="0027509A" w:rsidRPr="008739B9">
        <w:t>inimum</w:t>
      </w:r>
      <w:r w:rsidR="00554EB4" w:rsidRPr="008739B9">
        <w:t xml:space="preserve"> </w:t>
      </w:r>
      <w:r w:rsidRPr="008739B9">
        <w:t xml:space="preserve">of </w:t>
      </w:r>
      <w:r w:rsidR="00A15FE1">
        <w:t>1 km (</w:t>
      </w:r>
      <w:r w:rsidRPr="008739B9">
        <w:t>5/8 statu</w:t>
      </w:r>
      <w:r w:rsidR="00711D15" w:rsidRPr="008739B9">
        <w:t>t</w:t>
      </w:r>
      <w:r w:rsidRPr="008739B9">
        <w:t>e miles</w:t>
      </w:r>
      <w:r w:rsidR="00A15FE1">
        <w:t>)</w:t>
      </w:r>
      <w:r w:rsidRPr="008739B9">
        <w:t xml:space="preserve"> </w:t>
      </w:r>
      <w:r w:rsidRPr="008739B9">
        <w:fldChar w:fldCharType="begin"/>
      </w:r>
      <w:r w:rsidR="006422AD">
        <w:instrText xml:space="preserve"> ADDIN ZOTERO_ITEM CSL_CITATION {"citationID":"Fc94N5Tk","properties":{"formattedCitation":"(National Oceanic and Atmospheric Administration 2019)","plainCitation":"(National Oceanic and Atmospheric Administration 2019)","noteIndex":0},"citationItems":[{"id":"2zGPmLrU/kqtyGPzR","uris":["http://zotero.org/users/10372145/items/2WQBMGJM"],"itemData":{"id":55,"type":"document","publisher":"U.S. Department of Commerce","title":"Federal Meteorological Handbook No.1, Surface Weather Observations and Reports","URL":"https://www.icams-portal.gov/resources/ofcm/fmh/FMH1/fmh1_2019.pdf","author":[{"literal":"National Oceanic and Atmospheric Administration"}],"accessed":{"date-parts":[["2022",10,28]]},"issued":{"date-parts":[["2019",7]]}}}],"schema":"https://github.com/citation-style-language/schema/raw/master/csl-citation.json"} </w:instrText>
      </w:r>
      <w:r w:rsidRPr="008739B9">
        <w:fldChar w:fldCharType="separate"/>
      </w:r>
      <w:r w:rsidRPr="008739B9">
        <w:t>(National Oceanic and Atmospheric Administration 2019)</w:t>
      </w:r>
      <w:r w:rsidRPr="008739B9">
        <w:fldChar w:fldCharType="end"/>
      </w:r>
      <w:r w:rsidRPr="008739B9">
        <w:t xml:space="preserve">. Although mist </w:t>
      </w:r>
      <w:r w:rsidR="00524238" w:rsidRPr="008739B9">
        <w:t>has a similar distinction</w:t>
      </w:r>
      <w:r w:rsidRPr="008739B9">
        <w:t>, it has a defined visibility threshold less than</w:t>
      </w:r>
      <w:r w:rsidR="00A15FE1">
        <w:t xml:space="preserve"> 11.2 km (</w:t>
      </w:r>
      <w:r w:rsidRPr="008739B9">
        <w:t>7 statute miles</w:t>
      </w:r>
      <w:r w:rsidR="00F80F5A" w:rsidRPr="008739B9">
        <w:t>)</w:t>
      </w:r>
      <w:r w:rsidRPr="008739B9">
        <w:t xml:space="preserve"> but greater than or equal to</w:t>
      </w:r>
      <w:r w:rsidR="00A15FE1">
        <w:t xml:space="preserve"> 1 km (</w:t>
      </w:r>
      <w:r w:rsidRPr="008739B9">
        <w:t>5/8 statute miles</w:t>
      </w:r>
      <w:r w:rsidR="00066AA4" w:rsidRPr="008739B9">
        <w:t>)</w:t>
      </w:r>
      <w:r w:rsidRPr="008739B9">
        <w:t xml:space="preserve">. </w:t>
      </w:r>
      <w:r w:rsidR="00BF7D97" w:rsidRPr="008739B9">
        <w:t>Hydrometeor</w:t>
      </w:r>
      <w:r w:rsidR="009770E1" w:rsidRPr="008739B9">
        <w:t xml:space="preserve"> </w:t>
      </w:r>
      <w:r w:rsidR="00A15FE1">
        <w:t xml:space="preserve">in fog </w:t>
      </w:r>
      <w:r w:rsidR="0009191A" w:rsidRPr="008739B9">
        <w:t xml:space="preserve">range from </w:t>
      </w:r>
      <w:r w:rsidR="002D7C3F" w:rsidRPr="008739B9">
        <w:t>0.5</w:t>
      </w:r>
      <w:r w:rsidR="0009191A" w:rsidRPr="008739B9">
        <w:t xml:space="preserve"> </w:t>
      </w:r>
      <w:r w:rsidR="002541A9" w:rsidRPr="008739B9">
        <w:t>to</w:t>
      </w:r>
      <w:r w:rsidR="0009191A" w:rsidRPr="008739B9">
        <w:t xml:space="preserve"> 5</w:t>
      </w:r>
      <w:r w:rsidR="002D7C3F" w:rsidRPr="008739B9">
        <w:t>0</w:t>
      </w:r>
      <w:r w:rsidR="0009191A" w:rsidRPr="008739B9">
        <w:t xml:space="preserve"> µm</w:t>
      </w:r>
      <w:r w:rsidR="00071359" w:rsidRPr="008739B9">
        <w:t xml:space="preserve"> </w:t>
      </w:r>
      <w:r w:rsidR="00737CB5" w:rsidRPr="008739B9">
        <w:t>in diameter</w:t>
      </w:r>
      <w:r w:rsidR="00A15FE1">
        <w:t>,</w:t>
      </w:r>
      <w:r w:rsidR="00737CB5" w:rsidRPr="008739B9">
        <w:t xml:space="preserve"> </w:t>
      </w:r>
      <w:r w:rsidR="00071359" w:rsidRPr="008739B9">
        <w:t xml:space="preserve">with considerable </w:t>
      </w:r>
      <w:r w:rsidR="007222C5" w:rsidRPr="008739B9">
        <w:t xml:space="preserve">variability </w:t>
      </w:r>
      <w:r w:rsidR="0022552E" w:rsidRPr="008739B9">
        <w:t>in size distributions</w:t>
      </w:r>
      <w:r w:rsidR="003742B1" w:rsidRPr="008739B9">
        <w:t xml:space="preserve"> </w:t>
      </w:r>
      <w:r w:rsidR="003742B1" w:rsidRPr="008739B9">
        <w:fldChar w:fldCharType="begin"/>
      </w:r>
      <w:r w:rsidR="00B81E9B" w:rsidRPr="008739B9">
        <w:instrText xml:space="preserve"> ADDIN ZOTERO_ITEM CSL_CITATION {"citationID":"5cr4d8b7","properties":{"formattedCitation":"(Garland 1971; Gultepe et al. 2007; Liu et al. 2020)","plainCitation":"(Garland 1971; Gultepe et al. 2007; Liu et al. 2020)","dontUpdate":true,"noteIndex":0},"citationItems":[{"id":70,"uris":["http://zotero.org/users/local/LzhHb4Ct/items/LU6EMZLL"],"itemData":{"id":70,"type":"article-journal","abstract":"A cascade impactor technique based on the methods of previous workers has been used to study the size distribution of water droplets in several fogs. Nomarski interference contrast, used as a method of microscopic examination of the samples revealed large numbers of small droplets which were not visible under phase contrast. In about one third of the fogs studied these droplets, smaller than 2 μm diameter, made a large contribution to the optical extinction coefficient. The use of interference contrast for assessment of samples has resulted in some reduction of the large deficit, frequently found by previous workers, in the extinction coefficient calculated from the droplet size distribution, as compared with that measured optically. The remaining discrepancy, however, is significant and sometimes exceeds a factor of two. The small droplets are probably the result of condensation of water on hygroscopic nuclei whose critical supersaturation has not been exceeded. Their implications regarding the rate of clearance of fog are considered.","container-title":"Quarterly Journal of the Royal Meteorological Society","DOI":"10.1002/qj.49709741408","ISSN":"1477-870X","issue":"414","language":"en","license":"Copyright © 1971 Royal Meteorological Society","note":"_eprint: https://onlinelibrary.wiley.com/doi/pdf/10.1002/qj.49709741408","page":"483-494","source":"Wiley Online Library","title":"Some fog droplet size distributions obtained by an impaction method","volume":"97","author":[{"family":"Garland","given":"J. A."}],"issued":{"date-parts":[["1971"]]}}},{"id":72,"uris":["http://zotero.org/users/local/LzhHb4Ct/items/39QRB4K2"],"itemData":{"id":72,"type":"article-journal","abstract":"The scientific community that includes meteorologists, physical scientists, engineers, medical doctors, biologists, and environmentalists has shown interest in a better understanding of fog for years because of its effects on, directly or indirectly, the daily life of human beings. The total economic losses associated with the impact of the presence of fog on aviation, marine and land transportation can be comparable to those of tornadoes or, in some cases, winter storms and hurricanes. The number of articles including the word \"fog'' in Journals of American Meteorological Society alone was found to be about 4700, indicating that there is substantial interest in this subject. In spite of this extensive body of work, our ability to accurately forecast/nowcast fog remains limited due to our incomplete understanding of the fog processes over various time and space scales. Fog processes involve droplet microphysics, aerosol chemistry, radiation, turbulence, large/small-scale dynamics, and surface conditions (e.g., partaining to the presence of ice, snow, liquid, plants, and various types of soil). This review paper summarizes past achievements related to the understanding of fog formation, development and decay, and in this respect, the analysis of observations and the development of forecasting models and remote sensing methods are discussed in detail. Finally, future perspectives for fog-related research are highlighted.","container-title":"Pure and Applied Geophysics","journalAbbreviation":"Pure and Applied Geophysics","page":"1121-1159","source":"ResearchGate","title":"Fog research: A review of past achievements and future perspectives.","title-short":"Fog research","volume":"164","author":[{"family":"Gultepe","given":"Ismail"},{"family":"Tardif","given":"Robert"},{"family":"Michaelides","given":"Silas"},{"family":"Cermak","given":"Jan"},{"family":"Bott","given":"Andreas"},{"family":"Muller","given":"M."},{"family":"Pagowski","given":"Mariusz"},{"family":"Hansen","given":"B."},{"family":"Ellrod","given":"Gary"},{"family":"Jacobs","given":"W."},{"family":"Toth","given":"G."},{"family":"Cober","given":"S."}],"issued":{"date-parts":[["2007",6,1]]}}},{"id":68,"uris":["http://zotero.org/users/local/LzhHb4Ct/items/LEMLC8JD"],"itemData":{"id":68,"type":"article-journal","abstract":"From November 2016 to January 2017, there were large-scale dense fog processes in Tianjin area on the west coast of Bohai Bay, China, even strong dense fog with visibility less than 50 m occurred. Based on the observation data of fog droplet spectrum monitor, visibility sensor, environmental particle monitoring equipment and meteorological automatic station, the characteristics of fog droplet size distribution and the interaction between the fog droplets and fine particles during dense fog events were analyzed. The results show following characteristics: (1) The average concentration of fog droplets (Na), the average liquid water content (La) and the maximum liquid water content (Lmax) in the strong dense fog process are larger than those in the dense fog. The average spectrum of fog droplet size distribution conforms to Junge distribution, and they are all broad-spectrum fog with a spectrum width of about 45 μm. The average spectrum is similar to the dense fog of heavily industrialized inland in the world. (2) The maximum of fog droplet diameter during the formation stage have a good indication for the outbreak of strong dense fog. (3) The mass concentration of PM2.5 (CPM2.5) is ranged from 121–375 μg/m3, and the interaction between fog droplets and fine particles is analyzed. During the formation, development and maturity stages, fog process can scavenge atmospheric fine particles, and the scavenging efficiency of PM2.5 is more remarkable than PM10. When CPM2.5 does not exceed 350 μg/m3, the increase in the concentration of fine particles is conducive to the rapid growth of fog droplets and the sharp drop of visibility. However, when CPM2.5 exceeds the critical value, the increase has a negative feedback effect on the development of the fog process. More investigations and cases are necessary to fully assess the mechanisms related to the dense fog events in Tianjin area and further analysis will be done.","container-title":"Atmosphere","DOI":"10.3390/atmos11030258","ISSN":"2073-4433","issue":"3","language":"en","license":"http://creativecommons.org/licenses/by/3.0/","note":"number: 3\npublisher: Multidisciplinary Digital Publishing Institute","page":"258","source":"www.mdpi.com","title":"Fog Droplet Size Distribution and the Interaction between Fog Droplets and Fine Particles during Dense Fog in Tianjin, China","volume":"11","author":[{"family":"Liu","given":"Qing"},{"family":"Wu","given":"Bingui"},{"family":"Wang","given":"Zhaoyu"},{"family":"Hao","given":"Tianyi"}],"issued":{"date-parts":[["2020",3]]}}}],"schema":"https://github.com/citation-style-language/schema/raw/master/csl-citation.json"} </w:instrText>
      </w:r>
      <w:r w:rsidR="003742B1" w:rsidRPr="008739B9">
        <w:fldChar w:fldCharType="separate"/>
      </w:r>
      <w:r w:rsidR="003742B1" w:rsidRPr="008739B9">
        <w:t>(Garland 1971</w:t>
      </w:r>
      <w:r w:rsidR="000561C6" w:rsidRPr="008739B9">
        <w:t>,</w:t>
      </w:r>
      <w:r w:rsidR="003742B1" w:rsidRPr="008739B9">
        <w:t xml:space="preserve"> Gultepe et al. 2007</w:t>
      </w:r>
      <w:r w:rsidR="000561C6" w:rsidRPr="008739B9">
        <w:t>,</w:t>
      </w:r>
      <w:r w:rsidR="003742B1" w:rsidRPr="008739B9">
        <w:t xml:space="preserve"> Liu et al. 2020)</w:t>
      </w:r>
      <w:r w:rsidR="003742B1" w:rsidRPr="008739B9">
        <w:fldChar w:fldCharType="end"/>
      </w:r>
      <w:r w:rsidR="000561C6" w:rsidRPr="008739B9">
        <w:t>.</w:t>
      </w:r>
      <w:r w:rsidR="009D30C3" w:rsidRPr="008739B9">
        <w:t xml:space="preserve"> </w:t>
      </w:r>
      <w:r w:rsidR="00E14334" w:rsidRPr="008739B9">
        <w:t>As part of the Radiation and Aerosol Cloud Experiment exploring boundary layer stratiform clouds</w:t>
      </w:r>
      <w:r w:rsidR="00B848E9" w:rsidRPr="008739B9">
        <w:t>,</w:t>
      </w:r>
      <w:r w:rsidR="001F1161" w:rsidRPr="008739B9">
        <w:t xml:space="preserve"> visibility within </w:t>
      </w:r>
      <w:r w:rsidR="00B127A2" w:rsidRPr="008739B9">
        <w:t xml:space="preserve">warm </w:t>
      </w:r>
      <w:r w:rsidR="001F1161" w:rsidRPr="008739B9">
        <w:t>fog</w:t>
      </w:r>
      <w:r w:rsidR="00B127A2" w:rsidRPr="008739B9">
        <w:t>s</w:t>
      </w:r>
      <w:r w:rsidR="001F1161" w:rsidRPr="008739B9">
        <w:t xml:space="preserve"> </w:t>
      </w:r>
      <w:r w:rsidR="00A15FE1">
        <w:t>was shown to</w:t>
      </w:r>
      <w:r w:rsidR="00151853" w:rsidRPr="008739B9">
        <w:t xml:space="preserve"> be</w:t>
      </w:r>
      <w:r w:rsidR="001F1161" w:rsidRPr="008739B9">
        <w:t xml:space="preserve"> correlated </w:t>
      </w:r>
      <w:r w:rsidR="00480F2E" w:rsidRPr="008739B9">
        <w:t xml:space="preserve">with </w:t>
      </w:r>
      <w:r w:rsidR="001F1161" w:rsidRPr="008739B9">
        <w:t>droplet concentration (</w:t>
      </w:r>
      <m:oMath>
        <m:sSub>
          <m:sSubPr>
            <m:ctrlPr>
              <w:rPr>
                <w:rFonts w:ascii="Cambria Math" w:hAnsi="Cambria Math"/>
              </w:rPr>
            </m:ctrlPr>
          </m:sSubPr>
          <m:e>
            <m:r>
              <w:rPr>
                <w:rFonts w:ascii="Cambria Math" w:hAnsi="Cambria Math"/>
              </w:rPr>
              <m:t>N</m:t>
            </m:r>
          </m:e>
          <m:sub>
            <m:r>
              <w:rPr>
                <w:rFonts w:ascii="Cambria Math" w:hAnsi="Cambria Math"/>
              </w:rPr>
              <m:t>d</m:t>
            </m:r>
          </m:sub>
        </m:sSub>
      </m:oMath>
      <w:r w:rsidR="001F1161" w:rsidRPr="008739B9">
        <w:t>) and liquid water content (</w:t>
      </w:r>
      <m:oMath>
        <m:r>
          <w:rPr>
            <w:rFonts w:ascii="Cambria Math" w:hAnsi="Cambria Math"/>
          </w:rPr>
          <m:t>LWC</m:t>
        </m:r>
      </m:oMath>
      <w:r w:rsidR="001F1161" w:rsidRPr="008739B9">
        <w:t>)</w:t>
      </w:r>
      <w:r w:rsidR="00E14334" w:rsidRPr="008739B9">
        <w:t xml:space="preserve"> (</w:t>
      </w:r>
      <w:r w:rsidR="00E14334" w:rsidRPr="008739B9">
        <w:fldChar w:fldCharType="begin"/>
      </w:r>
      <w:r w:rsidR="00E14334" w:rsidRPr="008739B9">
        <w:instrText xml:space="preserve"> ADDIN ZOTERO_ITEM CSL_CITATION {"citationID":"qx2pULBs","properties":{"formattedCitation":"(Gultepe et al. 2006)","plainCitation":"(Gultepe et al. 2006)","dontUpdate":true,"noteIndex":0},"citationItems":[{"id":77,"uris":["http://zotero.org/users/local/LzhHb4Ct/items/8ZIU5QWR"],"itemData":{"id":77,"type":"article-journal","abstract":"Abstract The objective of this work is to suggest a new warm-fog visibility parameterization scheme for numerical weather prediction (NWP) models. In situ observations collected during the Radiation and Aerosol Cloud Experiment, representing boundary layer low-level clouds, were used to develop a parameterization scheme between visibility and a combined parameter as a function of both droplet number concentration Nd and liquid water content (LWC). The current NWP models usually use relationships between extinction coefficient and LWC. A newly developed parameterization scheme for visibility, Vis = f (LWC, Nd), is applied to the NOAA Nonhydrostatic Mesoscale Model. In this model, the microphysics of fog was adapted from the 1D Parameterized Fog (PAFOG) model and then was used in the lower 1.5 km of the atmosphere. Simulations for testing the new parameterization scheme are performed in a 50-km innermost-nested simulation domain using a horizontal grid spacing of 1 km centered on Zurich Unique Airport in Switzerland. The simulations over a 10-h time period showed that visibility differences between old and new parameterization schemes can be more than 50%. It is concluded that accurate visibility estimates require skillful LWC as well as Nd estimates from forecasts. Therefore, the current models can significantly over-/underestimate Vis (with more than 50% uncertainty) depending on environmental conditions. Inclusion of Nd as a prognostic (or parameterized) variable in parameterizations would significantly improve the operational forecast models.","container-title":"Journal of Applied Meteorology and Climatology","DOI":"10.1175/JAM2423.1","ISSN":"1558-8424, 1558-8432","issue":"11","language":"EN","note":"publisher: American Meteorological Society\nsection: Journal of Applied Meteorology and Climatology","page":"1469-1480","source":"journals.ametsoc.org","title":"A New Visibility Parameterization for Warm-Fog Applications in Numerical Weather Prediction Models","volume":"45","author":[{"family":"Gultepe","given":"I."},{"family":"Müller","given":"M. D."},{"family":"Boybeyi","given":"Z."}],"issued":{"date-parts":[["2006",11,1]]}}}],"schema":"https://github.com/citation-style-language/schema/raw/master/csl-citation.json"} </w:instrText>
      </w:r>
      <w:r w:rsidR="00E14334" w:rsidRPr="008739B9">
        <w:fldChar w:fldCharType="separate"/>
      </w:r>
      <w:r w:rsidR="00E14334" w:rsidRPr="008739B9">
        <w:t>Gultepe et al. 2006</w:t>
      </w:r>
      <w:r w:rsidR="00E14334" w:rsidRPr="008739B9">
        <w:fldChar w:fldCharType="end"/>
      </w:r>
      <w:r w:rsidR="00E14334" w:rsidRPr="008739B9">
        <w:t>)</w:t>
      </w:r>
      <w:r w:rsidR="00480F2E" w:rsidRPr="008739B9">
        <w:t>. The relationship is</w:t>
      </w:r>
      <w:r w:rsidR="00E14334" w:rsidRPr="008739B9">
        <w:t xml:space="preserve"> descr</w:t>
      </w:r>
      <w:r w:rsidR="003A231A">
        <w:t xml:space="preserve">ibed </w:t>
      </w:r>
      <w:r w:rsidR="00A15FE1">
        <w:t>using,</w:t>
      </w:r>
      <w:r w:rsidR="00A15FE1" w:rsidDel="00A15FE1">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1"/>
        <w:gridCol w:w="349"/>
      </w:tblGrid>
      <w:tr w:rsidR="002A1C4D" w:rsidRPr="008739B9" w14:paraId="3C480A6F" w14:textId="77777777" w:rsidTr="002A1C4D">
        <w:tc>
          <w:tcPr>
            <w:tcW w:w="9085" w:type="dxa"/>
          </w:tcPr>
          <w:p w14:paraId="3E05EC4E" w14:textId="1502EBE3" w:rsidR="002A1C4D" w:rsidRPr="008739B9" w:rsidRDefault="00C0408C" w:rsidP="0057198B">
            <w:pPr>
              <w:pStyle w:val="Equation"/>
            </w:pPr>
            <m:oMathPara>
              <m:oMath>
                <m:sSub>
                  <m:sSubPr>
                    <m:ctrlPr/>
                  </m:sSubPr>
                  <m:e>
                    <m:r>
                      <m:t>Vis</m:t>
                    </m:r>
                  </m:e>
                  <m:sub>
                    <m:r>
                      <m:t>fi</m:t>
                    </m:r>
                  </m:sub>
                </m:sSub>
                <m:r>
                  <m:rPr>
                    <m:sty m:val="p"/>
                  </m:rPr>
                  <m:t xml:space="preserve">= </m:t>
                </m:r>
                <m:f>
                  <m:fPr>
                    <m:ctrlPr/>
                  </m:fPr>
                  <m:num>
                    <m:r>
                      <m:rPr>
                        <m:sty m:val="p"/>
                      </m:rPr>
                      <m:t>1.002</m:t>
                    </m:r>
                  </m:num>
                  <m:den>
                    <m:sSup>
                      <m:sSupPr>
                        <m:ctrlPr/>
                      </m:sSupPr>
                      <m:e>
                        <m:d>
                          <m:dPr>
                            <m:ctrlPr/>
                          </m:dPr>
                          <m:e>
                            <m:r>
                              <m:t>LWC</m:t>
                            </m:r>
                            <m:r>
                              <m:rPr>
                                <m:sty m:val="p"/>
                              </m:rPr>
                              <m:t>*</m:t>
                            </m:r>
                            <m:sSub>
                              <m:sSubPr>
                                <m:ctrlPr/>
                              </m:sSubPr>
                              <m:e>
                                <m:r>
                                  <m:t>N</m:t>
                                </m:r>
                              </m:e>
                              <m:sub>
                                <m:r>
                                  <m:t>d</m:t>
                                </m:r>
                              </m:sub>
                            </m:sSub>
                          </m:e>
                        </m:d>
                      </m:e>
                      <m:sup>
                        <m:r>
                          <m:rPr>
                            <m:sty m:val="p"/>
                          </m:rPr>
                          <m:t>0.6473</m:t>
                        </m:r>
                      </m:sup>
                    </m:sSup>
                  </m:den>
                </m:f>
                <m:r>
                  <m:rPr>
                    <m:sty m:val="p"/>
                  </m:rPr>
                  <m:t>.</m:t>
                </m:r>
              </m:oMath>
            </m:oMathPara>
          </w:p>
        </w:tc>
        <w:tc>
          <w:tcPr>
            <w:tcW w:w="265" w:type="dxa"/>
            <w:vAlign w:val="center"/>
          </w:tcPr>
          <w:p w14:paraId="04473EFC" w14:textId="0CC209A7" w:rsidR="002A1C4D" w:rsidRPr="008739B9" w:rsidRDefault="005858A3" w:rsidP="0057198B">
            <w:pPr>
              <w:pStyle w:val="Equation"/>
            </w:pPr>
            <w:r>
              <w:fldChar w:fldCharType="begin"/>
            </w:r>
            <w:r>
              <w:instrText xml:space="preserve"> SEQ Equation \* ARABIC </w:instrText>
            </w:r>
            <w:r>
              <w:fldChar w:fldCharType="separate"/>
            </w:r>
            <w:bookmarkStart w:id="6" w:name="_Ref150985510"/>
            <w:r w:rsidR="0010654D">
              <w:rPr>
                <w:noProof/>
              </w:rPr>
              <w:t>1</w:t>
            </w:r>
            <w:bookmarkEnd w:id="6"/>
            <w:r>
              <w:rPr>
                <w:noProof/>
              </w:rPr>
              <w:fldChar w:fldCharType="end"/>
            </w:r>
          </w:p>
        </w:tc>
      </w:tr>
    </w:tbl>
    <w:p w14:paraId="789A8F44" w14:textId="0B1DBA0B" w:rsidR="00097826" w:rsidRPr="008739B9" w:rsidRDefault="00A15FE1" w:rsidP="00C62D4C">
      <w:pPr>
        <w:pStyle w:val="TextFormat"/>
        <w:ind w:firstLine="0"/>
      </w:pPr>
      <w:r>
        <w:t>where t</w:t>
      </w:r>
      <w:r w:rsidR="0080085C" w:rsidRPr="008739B9">
        <w:t>he</w:t>
      </w:r>
      <w:r w:rsidR="00C012F6" w:rsidRPr="008739B9">
        <w:t xml:space="preserve"> extinction coefficient </w:t>
      </w:r>
      <w:r w:rsidR="000E147F" w:rsidRPr="008739B9">
        <w:t>(</w:t>
      </w:r>
      <m:oMath>
        <m:r>
          <w:rPr>
            <w:rFonts w:ascii="Cambria Math" w:hAnsi="Cambria Math"/>
          </w:rPr>
          <m:t>β</m:t>
        </m:r>
      </m:oMath>
      <w:r w:rsidR="000E147F" w:rsidRPr="008739B9">
        <w:t xml:space="preserve">) </w:t>
      </w:r>
      <w:r w:rsidR="0080085C" w:rsidRPr="008739B9">
        <w:t xml:space="preserve">is related to </w:t>
      </w:r>
      <m:oMath>
        <m:r>
          <w:rPr>
            <w:rFonts w:ascii="Cambria Math" w:hAnsi="Cambria Math"/>
          </w:rPr>
          <m:t>LWC</m:t>
        </m:r>
      </m:oMath>
      <w:r w:rsidR="000E147F" w:rsidRPr="008739B9">
        <w:t xml:space="preserve"> </w:t>
      </w:r>
      <w:r w:rsidR="00A70251" w:rsidRPr="008739B9">
        <w:t xml:space="preserve">within </w:t>
      </w:r>
      <w:r w:rsidR="00010370" w:rsidRPr="008739B9">
        <w:t>fogs</w:t>
      </w:r>
      <w:r w:rsidR="00692E65" w:rsidRPr="008739B9">
        <w:t xml:space="preserve"> </w:t>
      </w:r>
      <w:r w:rsidR="002E4F05" w:rsidRPr="008739B9">
        <w:t>using</w:t>
      </w:r>
      <w:r w:rsidR="0080085C" w:rsidRPr="008739B9">
        <w:t xml:space="preserve"> a</w:t>
      </w:r>
      <w:r w:rsidR="002E4F05" w:rsidRPr="008739B9">
        <w:t xml:space="preserve"> power law</w:t>
      </w:r>
      <w:r w:rsidR="0080085C" w:rsidRPr="008739B9">
        <w:t xml:space="preserve"> relationship</w:t>
      </w:r>
      <w:r w:rsidR="00D20143" w:rsidRPr="008739B9">
        <w:t xml:space="preserve"> </w:t>
      </w:r>
      <w:r w:rsidR="00D20143" w:rsidRPr="008739B9">
        <w:fldChar w:fldCharType="begin"/>
      </w:r>
      <w:r w:rsidR="00B81E9B" w:rsidRPr="008739B9">
        <w:instrText xml:space="preserve"> ADDIN ZOTERO_ITEM CSL_CITATION {"citationID":"QVEQqtS1","properties":{"formattedCitation":"(Eldridge 1971; Kunkel 1984)","plainCitation":"(Eldridge 1971; Kunkel 1984)","dontUpdate":true,"noteIndex":0},"citationItems":[{"id":82,"uris":["http://zotero.org/users/local/LzhHb4Ct/items/YSXGE6YV"],"itemData":{"id":82,"type":"article-journal","abstract":"Abstract An analytical technique employing a fog drop-size distribution model is used to demonstrate the importance of the width of measured drop-size distributions when evolving a visibility-liquid water content relationship. Consistency is achieved between two apparently different visibility-liquid water content curves generated from two sets of fog drop-size distributions with this analysis.","container-title":"Journal of the Atmospheric Sciences","DOI":"10.1175/1520-0469(1971)028&lt;1183:TRBVAL&gt;2.0.CO;2","ISSN":"0022-4928, 1520-0469","issue":"7","language":"EN","note":"publisher: American Meteorological Society\nsection: Journal of the Atmospheric Sciences","page":"1183-1186","source":"journals.ametsoc.org","title":"The Relationship Between Visibility and Liquid Water Content in Fog","volume":"28","author":[{"family":"Eldridge","given":"Ralph G."}],"issued":{"date-parts":[["1971",10,1]]}}},{"id":84,"uris":["http://zotero.org/users/local/LzhHb4Ct/items/DCYM39RL"],"itemData":{"id":84,"type":"article-journal","abstract":"Abstract Fog droplet spectra data were obtained in several advection fogs at the AFGL Weather Test Facility at Otis Air National Guard Base, Massachusetts, using two PMS forward-scatter spectrometer probes (FSSP-100). Approximately 90 h of droplet data were recorded simultaneously at 5 m and 30 m above the ground throughout the life cycle of 11 fogs during 1980 and 1981. This large data set was used to develop new parameterizations of the extinction coefficient and the mean droplet terminal velocity in terms of liquid water content and droplet concentration for fogs with liquid water contents greater than 0.018 g m−3. The advection fog data show an excellent correlation of 95% between the extinction coefficient and liquid water content. The regression line for these two quantities is more nearly linear than found by other investigators. The correlation between the mean droplet terminal velocity and various microphysical parameters is not as high as that for the extinction coefficient and liquid water content. The best correlation (75%) is found between mean droplet terminal velocity and a power function of the ratio of liquid water content and concentration of droplets greater than 2.5 μm in diameter. However, since the concentration of such droplets is highly variable, and not easily measured, it is suggested that a constant mean droplet terminal velocity of 1.9 cm s−1 be used in numerical fog prediction models.","container-title":"Journal of Applied Meteorology and Climatology","DOI":"10.1175/1520-0450(1984)023&lt;0034:PODTVA&gt;2.0.CO;2","ISSN":"1520-0450","issue":"1","language":"EN","note":"publisher: American Meteorological Society\nsection: Journal of Applied Meteorology and Climatology","page":"34-41","source":"journals.ametsoc.org","title":"Parameterization of Droplet Terminal Velocity and Extinction Coefficient in Fog Models","volume":"23","author":[{"family":"Kunkel","given":"Bruce A."}],"issued":{"date-parts":[["1984",1,1]]}}}],"schema":"https://github.com/citation-style-language/schema/raw/master/csl-citation.json"} </w:instrText>
      </w:r>
      <w:r w:rsidR="00D20143" w:rsidRPr="008739B9">
        <w:fldChar w:fldCharType="separate"/>
      </w:r>
      <w:r w:rsidR="00D20143" w:rsidRPr="008739B9">
        <w:t>(Eldridge 1971</w:t>
      </w:r>
      <w:r w:rsidR="00B51FDE" w:rsidRPr="008739B9">
        <w:t>,</w:t>
      </w:r>
      <w:r w:rsidR="00D20143" w:rsidRPr="008739B9">
        <w:t xml:space="preserve"> Kunkel 1984)</w:t>
      </w:r>
      <w:r w:rsidR="00D20143" w:rsidRPr="008739B9">
        <w:fldChar w:fldCharType="end"/>
      </w:r>
      <w:r>
        <w:t>.</w:t>
      </w:r>
      <w:r w:rsidR="0080085C" w:rsidRPr="008739B9">
        <w:t xml:space="preserve"> </w:t>
      </w:r>
      <w:r>
        <w:t>H</w:t>
      </w:r>
      <w:r w:rsidR="0080085C" w:rsidRPr="008739B9">
        <w:t xml:space="preserve">owever, the </w:t>
      </w:r>
      <w:r w:rsidR="00B83876" w:rsidRPr="008739B9">
        <w:t xml:space="preserve">relationship is </w:t>
      </w:r>
      <w:r w:rsidR="004F08A0" w:rsidRPr="008739B9">
        <w:t xml:space="preserve">highly variable </w:t>
      </w:r>
      <w:r w:rsidR="0080085C" w:rsidRPr="008739B9">
        <w:t xml:space="preserve">but can be </w:t>
      </w:r>
      <w:r w:rsidR="00B83876" w:rsidRPr="008739B9">
        <w:t>parameterized as</w:t>
      </w:r>
      <w:r w:rsidR="002A1C4D" w:rsidRPr="008739B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1"/>
        <w:gridCol w:w="349"/>
      </w:tblGrid>
      <w:tr w:rsidR="002A1C4D" w14:paraId="5B71DED5" w14:textId="77777777" w:rsidTr="002A1C4D">
        <w:tc>
          <w:tcPr>
            <w:tcW w:w="9085" w:type="dxa"/>
          </w:tcPr>
          <w:p w14:paraId="7CF3B329" w14:textId="006E26F3" w:rsidR="002A1C4D" w:rsidRDefault="002A1C4D" w:rsidP="0057198B">
            <w:pPr>
              <w:pStyle w:val="Equation"/>
            </w:pPr>
            <m:oMathPara>
              <m:oMath>
                <m:r>
                  <m:t>β</m:t>
                </m:r>
                <m:r>
                  <m:rPr>
                    <m:sty m:val="p"/>
                  </m:rPr>
                  <m:t>=</m:t>
                </m:r>
                <m:r>
                  <m:t>a</m:t>
                </m:r>
                <m:sSup>
                  <m:sSupPr>
                    <m:ctrlPr/>
                  </m:sSupPr>
                  <m:e>
                    <m:d>
                      <m:dPr>
                        <m:ctrlPr/>
                      </m:dPr>
                      <m:e>
                        <m:r>
                          <m:t>LWC</m:t>
                        </m:r>
                      </m:e>
                    </m:d>
                  </m:e>
                  <m:sup>
                    <m:r>
                      <m:t>b</m:t>
                    </m:r>
                  </m:sup>
                </m:sSup>
                <m:r>
                  <m:rPr>
                    <m:sty m:val="p"/>
                  </m:rPr>
                  <w:rPr>
                    <w:rFonts w:eastAsiaTheme="minorEastAsia"/>
                  </w:rPr>
                  <m:t>,</m:t>
                </m:r>
              </m:oMath>
            </m:oMathPara>
          </w:p>
        </w:tc>
        <w:tc>
          <w:tcPr>
            <w:tcW w:w="265" w:type="dxa"/>
            <w:vAlign w:val="center"/>
          </w:tcPr>
          <w:p w14:paraId="2C2D285A" w14:textId="68598BE4" w:rsidR="002A1C4D" w:rsidRPr="002A1C4D" w:rsidRDefault="005858A3" w:rsidP="0057198B">
            <w:pPr>
              <w:pStyle w:val="Equation"/>
            </w:pPr>
            <w:r>
              <w:fldChar w:fldCharType="begin"/>
            </w:r>
            <w:r>
              <w:instrText xml:space="preserve"> SEQ Equation \* ARABIC </w:instrText>
            </w:r>
            <w:r>
              <w:fldChar w:fldCharType="separate"/>
            </w:r>
            <w:r w:rsidR="0010654D">
              <w:rPr>
                <w:noProof/>
              </w:rPr>
              <w:t>2</w:t>
            </w:r>
            <w:r>
              <w:rPr>
                <w:noProof/>
              </w:rPr>
              <w:fldChar w:fldCharType="end"/>
            </w:r>
          </w:p>
        </w:tc>
      </w:tr>
    </w:tbl>
    <w:p w14:paraId="1ACBBF43" w14:textId="148FB6F1" w:rsidR="00CA55D8" w:rsidRPr="008739B9" w:rsidRDefault="00250475" w:rsidP="003A231A">
      <w:pPr>
        <w:pStyle w:val="TextFormat"/>
        <w:ind w:firstLine="0"/>
      </w:pPr>
      <w:r w:rsidRPr="008739B9">
        <w:t>where</w:t>
      </w:r>
      <w:r w:rsidR="00F82BC0" w:rsidRPr="008739B9">
        <w:t xml:space="preserve"> </w:t>
      </w:r>
      <m:oMath>
        <m:r>
          <w:rPr>
            <w:rFonts w:ascii="Cambria Math" w:hAnsi="Cambria Math"/>
          </w:rPr>
          <m:t>a</m:t>
        </m:r>
      </m:oMath>
      <w:r w:rsidR="00F82BC0" w:rsidRPr="008739B9">
        <w:t xml:space="preserve"> and </w:t>
      </w:r>
      <m:oMath>
        <m:r>
          <w:rPr>
            <w:rFonts w:ascii="Cambria Math" w:hAnsi="Cambria Math"/>
          </w:rPr>
          <m:t>b</m:t>
        </m:r>
      </m:oMath>
      <w:r w:rsidR="00F82BC0" w:rsidRPr="008739B9">
        <w:t xml:space="preserve"> are empirically derived constants</w:t>
      </w:r>
      <w:r w:rsidR="00A40BA0" w:rsidRPr="008739B9">
        <w:t>:</w:t>
      </w:r>
      <w:r w:rsidRPr="008739B9">
        <w:t xml:space="preserve"> </w:t>
      </w:r>
      <m:oMath>
        <m:r>
          <m:rPr>
            <m:sty m:val="p"/>
          </m:rPr>
          <w:rPr>
            <w:rFonts w:ascii="Cambria Math" w:hAnsi="Cambria Math"/>
          </w:rPr>
          <m:t>65≤</m:t>
        </m:r>
        <m:r>
          <w:rPr>
            <w:rFonts w:ascii="Cambria Math" w:hAnsi="Cambria Math"/>
          </w:rPr>
          <m:t>a</m:t>
        </m:r>
        <m:r>
          <m:rPr>
            <m:sty m:val="p"/>
          </m:rPr>
          <w:rPr>
            <w:rFonts w:ascii="Cambria Math" w:hAnsi="Cambria Math"/>
          </w:rPr>
          <m:t xml:space="preserve">≤178 </m:t>
        </m:r>
      </m:oMath>
      <w:r w:rsidR="00E37557" w:rsidRPr="008739B9">
        <w:t xml:space="preserve">and </w:t>
      </w:r>
      <m:oMath>
        <m:r>
          <m:rPr>
            <m:sty m:val="p"/>
          </m:rPr>
          <w:rPr>
            <w:rFonts w:ascii="Cambria Math" w:hAnsi="Cambria Math"/>
          </w:rPr>
          <m:t>0.63≤</m:t>
        </m:r>
        <m:r>
          <w:rPr>
            <w:rFonts w:ascii="Cambria Math" w:hAnsi="Cambria Math"/>
          </w:rPr>
          <m:t>b</m:t>
        </m:r>
        <m:r>
          <m:rPr>
            <m:sty m:val="p"/>
          </m:rPr>
          <w:rPr>
            <w:rFonts w:ascii="Cambria Math" w:hAnsi="Cambria Math"/>
          </w:rPr>
          <m:t>≤0.96</m:t>
        </m:r>
      </m:oMath>
      <w:r w:rsidR="005B26F6" w:rsidRPr="008739B9">
        <w:t xml:space="preserve"> </w:t>
      </w:r>
      <w:r w:rsidR="005B26F6" w:rsidRPr="008739B9">
        <w:fldChar w:fldCharType="begin"/>
      </w:r>
      <w:r w:rsidR="005B26F6" w:rsidRPr="008739B9">
        <w:instrText xml:space="preserve"> ADDIN ZOTERO_ITEM CSL_CITATION {"citationID":"BKHFO4ol","properties":{"formattedCitation":"(Gultepe et al. 2007)","plainCitation":"(Gultepe et al. 2007)","noteIndex":0},"citationItems":[{"id":72,"uris":["http://zotero.org/users/local/LzhHb4Ct/items/39QRB4K2"],"itemData":{"id":72,"type":"article-journal","abstract":"The scientific community that includes meteorologists, physical scientists, engineers, medical doctors, biologists, and environmentalists has shown interest in a better understanding of fog for years because of its effects on, directly or indirectly, the daily life of human beings. The total economic losses associated with the impact of the presence of fog on aviation, marine and land transportation can be comparable to those of tornadoes or, in some cases, winter storms and hurricanes. The number of articles including the word \"fog'' in Journals of American Meteorological Society alone was found to be about 4700, indicating that there is substantial interest in this subject. In spite of this extensive body of work, our ability to accurately forecast/nowcast fog remains limited due to our incomplete understanding of the fog processes over various time and space scales. Fog processes involve droplet microphysics, aerosol chemistry, radiation, turbulence, large/small-scale dynamics, and surface conditions (e.g., partaining to the presence of ice, snow, liquid, plants, and various types of soil). This review paper summarizes past achievements related to the understanding of fog formation, development and decay, and in this respect, the analysis of observations and the development of forecasting models and remote sensing methods are discussed in detail. Finally, future perspectives for fog-related research are highlighted.","container-title":"Pure and Applied Geophysics","journalAbbreviation":"Pure and Applied Geophysics","page":"1121-1159","source":"ResearchGate","title":"Fog research: A review of past achievements and future perspectives.","title-short":"Fog research","volume":"164","author":[{"family":"Gultepe","given":"Ismail"},{"family":"Tardif","given":"Robert"},{"family":"Michaelides","given":"Silas"},{"family":"Cermak","given":"Jan"},{"family":"Bott","given":"Andreas"},{"family":"Muller","given":"M."},{"family":"Pagowski","given":"Mariusz"},{"family":"Hansen","given":"B."},{"family":"Ellrod","given":"Gary"},{"family":"Jacobs","given":"W."},{"family":"Toth","given":"G."},{"family":"Cober","given":"S."}],"issued":{"date-parts":[["2007",6,1]]}}}],"schema":"https://github.com/citation-style-language/schema/raw/master/csl-citation.json"} </w:instrText>
      </w:r>
      <w:r w:rsidR="005B26F6" w:rsidRPr="008739B9">
        <w:fldChar w:fldCharType="separate"/>
      </w:r>
      <w:r w:rsidR="005B26F6" w:rsidRPr="008739B9">
        <w:t>(Gultepe et al. 2007)</w:t>
      </w:r>
      <w:r w:rsidR="005B26F6" w:rsidRPr="008739B9">
        <w:fldChar w:fldCharType="end"/>
      </w:r>
      <w:r w:rsidR="00426131" w:rsidRPr="008739B9">
        <w:t>.</w:t>
      </w:r>
      <w:r w:rsidR="00B02B13" w:rsidRPr="008739B9">
        <w:t xml:space="preserve"> </w:t>
      </w:r>
      <w:r w:rsidR="00CE7729" w:rsidRPr="008739B9">
        <w:t>Thus, various microphysical parameters</w:t>
      </w:r>
      <w:r w:rsidR="007C0D0A" w:rsidRPr="008739B9">
        <w:t xml:space="preserve"> (</w:t>
      </w:r>
      <m:oMath>
        <m:r>
          <w:rPr>
            <w:rFonts w:ascii="Cambria Math" w:hAnsi="Cambria Math"/>
          </w:rPr>
          <m:t>LWC</m:t>
        </m:r>
      </m:oMath>
      <w:r w:rsidR="007C0D0A" w:rsidRPr="008739B9">
        <w:t xml:space="preserve">, </w:t>
      </w:r>
      <m:oMath>
        <m:sSub>
          <m:sSubPr>
            <m:ctrlPr>
              <w:rPr>
                <w:rFonts w:ascii="Cambria Math" w:hAnsi="Cambria Math"/>
              </w:rPr>
            </m:ctrlPr>
          </m:sSubPr>
          <m:e>
            <m:r>
              <w:rPr>
                <w:rFonts w:ascii="Cambria Math" w:hAnsi="Cambria Math"/>
              </w:rPr>
              <m:t>N</m:t>
            </m:r>
          </m:e>
          <m:sub>
            <m:r>
              <w:rPr>
                <w:rFonts w:ascii="Cambria Math" w:hAnsi="Cambria Math"/>
              </w:rPr>
              <m:t>d</m:t>
            </m:r>
          </m:sub>
        </m:sSub>
      </m:oMath>
      <w:r w:rsidR="007C0D0A" w:rsidRPr="008739B9">
        <w:t>)</w:t>
      </w:r>
      <w:r w:rsidR="00CE7729" w:rsidRPr="008739B9">
        <w:t xml:space="preserve"> of a </w:t>
      </w:r>
      <w:r w:rsidR="00E14334" w:rsidRPr="008739B9">
        <w:t xml:space="preserve">warm </w:t>
      </w:r>
      <w:r w:rsidR="00CE7729" w:rsidRPr="008739B9">
        <w:t xml:space="preserve">fog layer can be </w:t>
      </w:r>
      <w:r w:rsidR="00591D78" w:rsidRPr="008739B9">
        <w:t xml:space="preserve">theoretically </w:t>
      </w:r>
      <w:r w:rsidR="00CE7729" w:rsidRPr="008739B9">
        <w:t xml:space="preserve">determined </w:t>
      </w:r>
      <w:r w:rsidR="0092640C" w:rsidRPr="008739B9">
        <w:t xml:space="preserve">if </w:t>
      </w:r>
      <w:r w:rsidR="007C0D0A" w:rsidRPr="008739B9">
        <w:t>optical parameters (</w:t>
      </w:r>
      <m:oMath>
        <m:sSub>
          <m:sSubPr>
            <m:ctrlPr>
              <w:rPr>
                <w:rFonts w:ascii="Cambria Math" w:hAnsi="Cambria Math"/>
              </w:rPr>
            </m:ctrlPr>
          </m:sSubPr>
          <m:e>
            <m:r>
              <w:rPr>
                <w:rFonts w:ascii="Cambria Math" w:hAnsi="Cambria Math"/>
              </w:rPr>
              <m:t>Vis</m:t>
            </m:r>
          </m:e>
          <m:sub>
            <m:r>
              <w:rPr>
                <w:rFonts w:ascii="Cambria Math" w:hAnsi="Cambria Math"/>
              </w:rPr>
              <m:t>fi</m:t>
            </m:r>
          </m:sub>
        </m:sSub>
      </m:oMath>
      <w:r w:rsidR="00647383" w:rsidRPr="008739B9">
        <w:t xml:space="preserve">, </w:t>
      </w:r>
      <m:oMath>
        <m:r>
          <w:rPr>
            <w:rFonts w:ascii="Cambria Math" w:hAnsi="Cambria Math"/>
          </w:rPr>
          <m:t>β</m:t>
        </m:r>
      </m:oMath>
      <w:r w:rsidR="00221B94" w:rsidRPr="008739B9">
        <w:t>) are measured</w:t>
      </w:r>
      <w:r w:rsidR="00F03F58" w:rsidRPr="008739B9">
        <w:t xml:space="preserve"> and empiric constants are resolved</w:t>
      </w:r>
      <w:r w:rsidR="00221B94" w:rsidRPr="008739B9">
        <w:t xml:space="preserve">. </w:t>
      </w:r>
    </w:p>
    <w:p w14:paraId="3CD62159" w14:textId="050BBD6C" w:rsidR="004058F4" w:rsidRPr="008739B9" w:rsidRDefault="0021277B" w:rsidP="008739B9">
      <w:pPr>
        <w:pStyle w:val="TextFormat"/>
      </w:pPr>
      <w:r w:rsidRPr="008739B9">
        <w:t>F</w:t>
      </w:r>
      <w:r w:rsidR="00DB6C66" w:rsidRPr="008739B9">
        <w:t xml:space="preserve">og </w:t>
      </w:r>
      <w:r w:rsidR="004D32B1" w:rsidRPr="008739B9">
        <w:t>formation and life cycle</w:t>
      </w:r>
      <w:r w:rsidR="00014086" w:rsidRPr="008739B9">
        <w:t>s</w:t>
      </w:r>
      <w:r w:rsidR="004D32B1" w:rsidRPr="008739B9">
        <w:t xml:space="preserve"> </w:t>
      </w:r>
      <w:r w:rsidR="00014086" w:rsidRPr="008739B9">
        <w:t xml:space="preserve">are highly complex processes that </w:t>
      </w:r>
      <w:r w:rsidR="00363D3F" w:rsidRPr="008739B9">
        <w:t xml:space="preserve">are </w:t>
      </w:r>
      <w:r w:rsidR="004D32B1" w:rsidRPr="008739B9">
        <w:t>largely depend</w:t>
      </w:r>
      <w:r w:rsidR="00363D3F" w:rsidRPr="008739B9">
        <w:t>ent</w:t>
      </w:r>
      <w:r w:rsidR="004D32B1" w:rsidRPr="008739B9">
        <w:t xml:space="preserve"> on the microphysical and dynamical nature </w:t>
      </w:r>
      <w:r w:rsidR="00766827" w:rsidRPr="008739B9">
        <w:t>of the boundary layer</w:t>
      </w:r>
      <w:r w:rsidR="00014086" w:rsidRPr="008739B9">
        <w:t xml:space="preserve"> </w:t>
      </w:r>
      <w:r w:rsidR="00014086" w:rsidRPr="008739B9">
        <w:fldChar w:fldCharType="begin"/>
      </w:r>
      <w:r w:rsidR="00014086" w:rsidRPr="008739B9">
        <w:instrText xml:space="preserve"> ADDIN ZOTERO_ITEM CSL_CITATION {"citationID":"1HpqSz9B","properties":{"formattedCitation":"(Stolaki et al. 2009)","plainCitation":"(Stolaki et al. 2009)","noteIndex":0},"citationItems":[{"id":157,"uris":["http://zotero.org/users/local/LzhHb4Ct/items/J5PLAWPX"],"itemData":{"id":157,"type":"article-journal","abstract":"A statistical approach in order to study fog event characteristics occuring at the airport of Thessaloniki, Northern Greece is presented in this work. To achieve this, the seasonal and diurnal characteristics of fog are investigated using 35 years (1971–2005) of observations of meteorological parameters such as: visibility, air temperature, dew point temperature, air relative humidity, wind vector, precipitation, and cloud base height and coverage. Hourly surface observations of fifteen (15) years (1991–2005) are used to identify fog events induced by various physical mechanisms. Fog events are classified into fog types through the application of objective criteria that are derived upon fog formation processes and under the influence of various physiographic features. The temporal variability of different fog type occurrences are examined and the events are characterized according to their duration and intensity. \n\n The results are somehow affected by regional and local factors. Fog is mainly formed in winter time (~64%) with an enhanced likelihood to appear also in late autumn (19%). The highest frequency of the fog events occurs around sunrise or 1 to 2 h before of it. The mean duration of the events is about 4.5 h. Most of them (75%) are dense (visibility &amp;lt;400 m). The overall fog phenomenon is a combination of various types, such as: advection fog, radiation fog, cloud-base lowering fog and precipitation fog. Advection fog (30%) and radiation fog (29%), which are the most common types, occur predominantly in winter and early spring time. With respect to the former type, it seems that, in many cases, already formed fog is advected from the nearby Anthemountas valley. Moreover, a considerable number of fog events (22%) result from cloud-base lowering, and they frequently occur in late autumn and mid winter.","container-title":"Natural Hazards and Earth System Sciences","DOI":"10.5194/nhess-9-1541-2009","ISSN":"1561-8633","issue":"5","language":"English","note":"publisher: Copernicus GmbH","page":"1541-1549","source":"Copernicus Online Journals","title":"Fog characteristics at the airport of Thessaloniki, Greece","volume":"9","author":[{"family":"Stolaki","given":"S. N."},{"family":"Kazadzis","given":"S. A."},{"family":"Foris","given":"D. V."},{"family":"Karacostas","given":"Th S."}],"issued":{"date-parts":[["2009",9,3]]}}}],"schema":"https://github.com/citation-style-language/schema/raw/master/csl-citation.json"} </w:instrText>
      </w:r>
      <w:r w:rsidR="00014086" w:rsidRPr="008739B9">
        <w:fldChar w:fldCharType="separate"/>
      </w:r>
      <w:r w:rsidR="00014086" w:rsidRPr="008739B9">
        <w:t>(Stolaki et al. 2009)</w:t>
      </w:r>
      <w:r w:rsidR="00014086" w:rsidRPr="008739B9">
        <w:fldChar w:fldCharType="end"/>
      </w:r>
      <w:r w:rsidR="00014086" w:rsidRPr="008739B9">
        <w:t xml:space="preserve">. </w:t>
      </w:r>
      <w:r w:rsidR="00E00AAA" w:rsidRPr="008739B9">
        <w:t xml:space="preserve">Formation </w:t>
      </w:r>
      <w:r w:rsidR="00E00AAA" w:rsidRPr="008739B9">
        <w:lastRenderedPageBreak/>
        <w:t>generally occurs with</w:t>
      </w:r>
      <w:r w:rsidR="00D97A79" w:rsidRPr="008739B9">
        <w:t>in</w:t>
      </w:r>
      <w:r w:rsidR="00E00AAA" w:rsidRPr="008739B9">
        <w:t xml:space="preserve"> broad subsidence aloft</w:t>
      </w:r>
      <w:r w:rsidR="00600DA3" w:rsidRPr="008739B9">
        <w:t xml:space="preserve">, </w:t>
      </w:r>
      <w:r w:rsidR="00E00AAA" w:rsidRPr="008739B9">
        <w:t>radiative cooling at the surface</w:t>
      </w:r>
      <w:r w:rsidR="00600DA3" w:rsidRPr="008739B9">
        <w:t>, and some form of surface moisture</w:t>
      </w:r>
      <w:r w:rsidR="00D97A79" w:rsidRPr="008739B9">
        <w:t>.</w:t>
      </w:r>
      <w:r w:rsidR="0080085C" w:rsidRPr="008739B9">
        <w:t xml:space="preserve"> </w:t>
      </w:r>
      <w:r w:rsidR="00600DA3" w:rsidRPr="008739B9">
        <w:t>Evolution</w:t>
      </w:r>
      <w:r w:rsidR="00363D3F" w:rsidRPr="008739B9">
        <w:t xml:space="preserve"> of the </w:t>
      </w:r>
      <w:r w:rsidR="00F354C5" w:rsidRPr="008739B9">
        <w:t xml:space="preserve">cloud </w:t>
      </w:r>
      <w:r w:rsidR="00363D3F" w:rsidRPr="008739B9">
        <w:t xml:space="preserve">layer is strongly reliant on fog top radiative cooling, </w:t>
      </w:r>
      <w:r w:rsidR="00600DA3" w:rsidRPr="008739B9">
        <w:t>maturing</w:t>
      </w:r>
      <w:r w:rsidR="00363D3F" w:rsidRPr="008739B9">
        <w:t xml:space="preserve"> subsidence, and </w:t>
      </w:r>
      <w:r w:rsidR="00600DA3" w:rsidRPr="008739B9">
        <w:t>heat/moisture</w:t>
      </w:r>
      <w:r w:rsidR="00363D3F" w:rsidRPr="008739B9">
        <w:t xml:space="preserve"> fluxes </w:t>
      </w:r>
      <w:r w:rsidR="00363D3F" w:rsidRPr="008739B9">
        <w:fldChar w:fldCharType="begin"/>
      </w:r>
      <w:r w:rsidR="00363D3F" w:rsidRPr="008739B9">
        <w:instrText xml:space="preserve"> ADDIN ZOTERO_ITEM CSL_CITATION {"citationID":"jqQDsRIb","properties":{"formattedCitation":"(Mason 1982; Gultepe et al. 2007, 2017)","plainCitation":"(Mason 1982; Gultepe et al. 2007, 2017)","noteIndex":0},"citationItems":[{"id":159,"uris":["http://zotero.org/users/local/LzhHb4Ct/items/76IGQV99"],"itemData":{"id":159,"type":"article-journal","abstract":"</w:instrText>
      </w:r>
      <w:r w:rsidR="00363D3F" w:rsidRPr="008739B9">
        <w:rPr>
          <w:rFonts w:ascii="MS Gothic" w:eastAsia="MS Gothic" w:hAnsi="MS Gothic" w:cs="MS Gothic" w:hint="eastAsia"/>
        </w:rPr>
        <w:instrText>この論文は</w:instrText>
      </w:r>
      <w:r w:rsidR="00363D3F" w:rsidRPr="008739B9">
        <w:instrText>,</w:instrText>
      </w:r>
      <w:r w:rsidR="00363D3F" w:rsidRPr="008739B9">
        <w:rPr>
          <w:rFonts w:ascii="MS Gothic" w:eastAsia="MS Gothic" w:hAnsi="MS Gothic" w:cs="MS Gothic" w:hint="eastAsia"/>
        </w:rPr>
        <w:instrText>放射霧の発達にかかわる物理過程が</w:instrText>
      </w:r>
      <w:r w:rsidR="00363D3F" w:rsidRPr="008739B9">
        <w:instrText>,</w:instrText>
      </w:r>
      <w:r w:rsidR="00363D3F" w:rsidRPr="008739B9">
        <w:rPr>
          <w:rFonts w:ascii="MS Gothic" w:eastAsia="MS Gothic" w:hAnsi="MS Gothic" w:cs="MS Gothic" w:hint="eastAsia"/>
        </w:rPr>
        <w:instrText>その発生</w:instrText>
      </w:r>
      <w:r w:rsidR="00363D3F" w:rsidRPr="008739B9">
        <w:instrText>,</w:instrText>
      </w:r>
      <w:r w:rsidR="00363D3F" w:rsidRPr="008739B9">
        <w:rPr>
          <w:rFonts w:ascii="MS Gothic" w:eastAsia="MS Gothic" w:hAnsi="MS Gothic" w:cs="MS Gothic" w:hint="eastAsia"/>
        </w:rPr>
        <w:instrText>成長と消滅をきめるのにどのように影響し合うかを明らかにするため</w:instrText>
      </w:r>
      <w:r w:rsidR="00363D3F" w:rsidRPr="008739B9">
        <w:instrText>,</w:instrText>
      </w:r>
      <w:r w:rsidR="00363D3F" w:rsidRPr="008739B9">
        <w:rPr>
          <w:rFonts w:ascii="MS Gothic" w:eastAsia="MS Gothic" w:hAnsi="MS Gothic" w:cs="MS Gothic" w:hint="eastAsia"/>
        </w:rPr>
        <w:instrText>英国気象庁が企画した最近の研究を総評するものである。野外測定と計算モデルの結果とを結び合わせて</w:instrText>
      </w:r>
      <w:r w:rsidR="00363D3F" w:rsidRPr="008739B9">
        <w:instrText>,</w:instrText>
      </w:r>
      <w:r w:rsidR="00363D3F" w:rsidRPr="008739B9">
        <w:rPr>
          <w:rFonts w:ascii="MS Gothic" w:eastAsia="MS Gothic" w:hAnsi="MS Gothic" w:cs="MS Gothic" w:hint="eastAsia"/>
        </w:rPr>
        <w:instrText>空気と水滴の放射冷却</w:instrText>
      </w:r>
      <w:r w:rsidR="00363D3F" w:rsidRPr="008739B9">
        <w:instrText>,</w:instrText>
      </w:r>
      <w:r w:rsidR="00363D3F" w:rsidRPr="008739B9">
        <w:rPr>
          <w:rFonts w:ascii="MS Gothic" w:eastAsia="MS Gothic" w:hAnsi="MS Gothic" w:cs="MS Gothic" w:hint="eastAsia"/>
        </w:rPr>
        <w:instrText>地面からの熱の伝導</w:instrText>
      </w:r>
      <w:r w:rsidR="00363D3F" w:rsidRPr="008739B9">
        <w:instrText>,</w:instrText>
      </w:r>
      <w:r w:rsidR="00363D3F" w:rsidRPr="008739B9">
        <w:rPr>
          <w:rFonts w:ascii="MS Gothic" w:eastAsia="MS Gothic" w:hAnsi="MS Gothic" w:cs="MS Gothic" w:hint="eastAsia"/>
        </w:rPr>
        <w:instrText>霧の中での熱と水蒸気の乱流輸送</w:instrText>
      </w:r>
      <w:r w:rsidR="00363D3F" w:rsidRPr="008739B9">
        <w:instrText>,</w:instrText>
      </w:r>
      <w:r w:rsidR="00363D3F" w:rsidRPr="008739B9">
        <w:rPr>
          <w:rFonts w:ascii="MS Gothic" w:eastAsia="MS Gothic" w:hAnsi="MS Gothic" w:cs="MS Gothic" w:hint="eastAsia"/>
        </w:rPr>
        <w:instrText>および地面</w:instrText>
      </w:r>
      <w:r w:rsidR="00363D3F" w:rsidRPr="008739B9">
        <w:instrText xml:space="preserve"> …","container-title":"Journal of the Meteorological Society of Japan. Ser. II","DOI":"10.2151/jmsj1965.60.1_486","ISSN":"0026-1165, 2186-9057","issue":"1","language":"en","note":"publisher: Meteorological Society of Japan","page":"486-499","source":"www.jstage.jst.go.jp","title":"The Physics of Radiation Fog","volume":"60","author":[{"family":"Mason","given":"John"}],"issued":{"date-parts":[["1982"]]}}},{"id":72,"uris":["http://zotero.org/users/local/LzhHb4Ct/items/39QRB4K2"],"itemData":{"id":72,"type":"article-journal","abstract":"The scientific community that includes meteorologists, physical scientists, engineers, medical doctors, biologists, and environmentalists has shown interest in a better understanding of fog for years because of its effects on, directly or indirectly, the daily life of human beings. The total economic losses associated with the impact of the presence of fog on aviation, marine and land transportation can be comparable to those of tornadoes or, in some cases, winter storms and hurricanes. The number of articles including the word \"fog'' in Journals of American Meteorological Society alone was found to be about 4700, indicating that there is substantial interest in this subject. In spite of this extensive body of work, our ability to accurately forecast/nowcast fog remains limited due to our incomplete understanding of the fog processes over various time and space scales. Fog processes involve droplet microphysics, aerosol chemistry, radiation, turbulence, large/small-scale dynamics, and surface conditions (e.g., partaining to the presence of ice, snow, liquid, plants, and various types of soil). This review paper summarizes past achievements related to the understanding of fog formation, development and decay, and in this respect, the analysis of observations and the development of forecasting models and remote sensing methods are discussed in detail. Finally, future perspectives for fog-related research are highlighted.","container-title":"Pure and Applied Geophysics","journalAbbreviation":"Pure and Applied Geophysics","page":"1121-1159","source":"ResearchGate","title":"Fog research: A review of past achievements and future perspectives.","title-short":"Fog research","volume":"164","author":[{"family":"Gultepe","given":"Ismail"},{"family":"Tardif","given":"Robert"},{"family":"Michaelides","given":"Silas"},{"family":"Cermak","given":"Jan"},{"family":"Bott","given":"Andreas"},{"family":"Muller","given":"M."},{"family":"Pagowski","given":"Mariusz"},{"family":"Hansen","given":"B."},{"family":"Ellrod","given":"Gary"},{"family":"Jacobs","given":"W."},{"family":"Toth","given":"G."},{"family":"Cober","given":"S."}],"issued":{"date-parts":[["2007",6,1]]}}},{"id":104,"uris":["http://zotero.org/users/local/LzhHb4Ct/items/FEZHD89T"],"itemData":{"id":104,"type":"article-journal","abstract":"Abstract Ice fog is a natural, outdoor cloud laboratory that provides an excellent opportunity to study ice microphysical processes. Ice crystals in fog are formed through similar pathways as those in elevated clouds; that is, cloud condensation or ice nuclei are activated in an atmosphere supersaturated with respect to liquid water or ice. The primary differences between surface and elevated ice clouds are related to the sources of water vapor, the cooling mechanisms and dynamical processes leading to supersaturation, and the microphysical characteristics of the nuclei that affect ice fog crystal physical properties. As with any fog, its presence can be a hazard for ground or airborne traffic because of poor visibility and icing. In addition, ice fog plays a role in climate change by modulating the heat and moisture budgets. Ice fog wintertime occurrence in many parts of the world can have a significant impact on the environment. Global climate models need to accurately account for the temporal and spatial microphysical and optical properties of ice fog, as do weather forecast models. The primary handicap is the lack of adequate information on nucleation processes and microphysical algorithms that accurately represent glaciation of supercooled water fog. This chapter summarizes the current understanding of ice fog formation and evolution; discusses operating principles, limitations, and uncertainties associated with the instruments used to measure ice fog microphysical properties; describes the prediction of ice fog by the numerical forecast models and physical parameterizations used in climate models; identifies the outstanding questions to be resolved; and lists recommended actions to address and solve these questions.","container-title":"Meteorological Monographs","DOI":"10.1175/AMSMONOGRAPHS-D-17-0002.1","issue":"1","language":"EN","note":"publisher: American Meteorological Society\nsection: Meteorological Monographs","page":"4.1-4.24","source":"journals.ametsoc.org","title":"Ice Fog: The Current State of Knowledge and Future Challenges","title-short":"Ice Fog","volume":"58","author":[{"family":"Gultepe","given":"Ismail"},{"family":"Heymsfield","given":"Andrew J."},{"family":"Gallagher","given":"Martin"},{"family":"Ickes","given":"Luisa"},{"family":"Baumgardner","given":"Darrel"}],"issued":{"date-parts":[["2017",1,1]]}}}],"schema":"https://github.com/citation-style-language/schema/raw/master/csl-citation.json"} </w:instrText>
      </w:r>
      <w:r w:rsidR="00363D3F" w:rsidRPr="008739B9">
        <w:fldChar w:fldCharType="separate"/>
      </w:r>
      <w:r w:rsidR="00363D3F" w:rsidRPr="008739B9">
        <w:t>(Mason 1982; Gultepe et al. 2007, 2017)</w:t>
      </w:r>
      <w:r w:rsidR="00363D3F" w:rsidRPr="008739B9">
        <w:fldChar w:fldCharType="end"/>
      </w:r>
      <w:r w:rsidR="00363D3F" w:rsidRPr="008739B9">
        <w:t>.</w:t>
      </w:r>
      <w:r w:rsidR="007A53B9" w:rsidRPr="008739B9">
        <w:t xml:space="preserve"> </w:t>
      </w:r>
      <w:r w:rsidR="00F354C5" w:rsidRPr="008739B9">
        <w:t>Groundbreaking efforts</w:t>
      </w:r>
      <w:r w:rsidR="004B3DBB" w:rsidRPr="008739B9">
        <w:t xml:space="preserve"> by </w:t>
      </w:r>
      <w:r w:rsidR="004B3DBB" w:rsidRPr="008739B9">
        <w:fldChar w:fldCharType="begin"/>
      </w:r>
      <w:r w:rsidR="002976D4" w:rsidRPr="008739B9">
        <w:instrText xml:space="preserve"> ADDIN ZOTERO_ITEM CSL_CITATION {"citationID":"aN8ZIE2H","properties":{"formattedCitation":"(Willett 1928)","plainCitation":"(Willett 1928)","dontUpdate":true,"noteIndex":0},"citationItems":[{"id":93,"uris":["http://zotero.org/users/local/LzhHb4Ct/items/7QVCYG6D"],"itemData":{"id":93,"type":"article-journal","abstract":"SYNOPSIS This paper contains the results of a year's study of fog and haze, both their present synoptic treatment and the more recent literature dealing with them at some of the principal European forecast and aviation centers. The greater part of the investigation was made at the Geophysical Institute of Bergen, Norway, with shorter stays at Lindenburg Aeronautical Observatory and Tempelhof Field near Berlin, at the meteorological office and Le Bourget, Paris, and at the meteorological office and Croyden, London. Grateful acknowledgments are due to the officials of and others connected with those institutions for courtesies shown during this investigation. Part I contains a brief summary of the present state of our knowledge of nuclei of condensation, paying special attention to Aitken's and Köhler's investigations of hygroscopic nuclei, and the general evidence favoring the theory that condensation begins on hygroscopic nuclei rather than on ions or neutral dust particles. Part II contains a general classification of the kinds of fog, followed by a consideration of the causes, characteristics, and distribution of each type. This whole development is carried out in terms of the Bergen methods of air mass analysis, because these are the only methods of synoptic treatment which stress the fine observational distinctions necessary for the consideration of a meteorological element as sensitive as fog. Part III contains a statement of the fundamental principles to be followed in fog forecasting, again in terms of air mass properties, and a brief consideration of the application of these general principles to each specific type of fog. Part IV contains some general elementary considerations of relations between fog frequencies and type of exposure which should be noted in choosing an aerodrome site. Abbreviations used are as follows: Rw relative humidity with respect to water. Re relative humidity with respect to ice. T. A. tropical air. P. A. polar air. W. A. warm air. C. P. A. continental polar air. M. P. A. maritime polar air. Trans. A. transitional air. C. Trans. A. continental transitional air. M. Trans. A. maritime transitional air. Ta temperature of air just above ground surface. Ts temperature of ground (or Water) surface","container-title":"Monthly Weather Review","DOI":"10.1175/1520-0493(1928)56&lt;435:FAHTCD&gt;2.0.CO;2","ISSN":"1520-0493, 0027-0644","issue":"11","language":"EN","note":"publisher: American Meteorological Society\nsection: Monthly Weather Review","page":"435-468","source":"journals.ametsoc.org","title":"FOG AND HAZE, THEIR CAUSES, DISTRIBUTION, AND FORECASTING","volume":"56","author":[{"family":"Willett","given":"H. C."}],"issued":{"date-parts":[["1928",11,1]]}}}],"schema":"https://github.com/citation-style-language/schema/raw/master/csl-citation.json"} </w:instrText>
      </w:r>
      <w:r w:rsidR="004B3DBB" w:rsidRPr="008739B9">
        <w:fldChar w:fldCharType="separate"/>
      </w:r>
      <w:r w:rsidR="004B3DBB" w:rsidRPr="008739B9">
        <w:t>Willett (1928)</w:t>
      </w:r>
      <w:r w:rsidR="004B3DBB" w:rsidRPr="008739B9">
        <w:fldChar w:fldCharType="end"/>
      </w:r>
      <w:r w:rsidR="004B3DBB" w:rsidRPr="008739B9">
        <w:t xml:space="preserve"> </w:t>
      </w:r>
      <w:r w:rsidR="00F354C5" w:rsidRPr="008739B9">
        <w:t>grouped eleven categories of</w:t>
      </w:r>
      <w:r w:rsidR="004B3DBB" w:rsidRPr="008739B9">
        <w:t xml:space="preserve"> fogs into three main </w:t>
      </w:r>
      <w:r w:rsidR="00F354C5" w:rsidRPr="008739B9">
        <w:t>types</w:t>
      </w:r>
      <w:r w:rsidR="004B3DBB" w:rsidRPr="008739B9">
        <w:t>: advection fog, radiation fog</w:t>
      </w:r>
      <w:r w:rsidR="00F354C5" w:rsidRPr="008739B9">
        <w:t xml:space="preserve">, and maritime fog. </w:t>
      </w:r>
      <w:r w:rsidR="001A5FD0" w:rsidRPr="008739B9">
        <w:t xml:space="preserve">Advective fogs are </w:t>
      </w:r>
      <w:r w:rsidR="00E24BD3" w:rsidRPr="008739B9">
        <w:t xml:space="preserve">typically </w:t>
      </w:r>
      <w:r w:rsidR="001A5FD0" w:rsidRPr="008739B9">
        <w:t>characterized by the transport</w:t>
      </w:r>
      <w:r w:rsidR="008C4958" w:rsidRPr="008739B9">
        <w:t xml:space="preserve"> </w:t>
      </w:r>
      <w:r w:rsidR="001A5FD0" w:rsidRPr="008739B9">
        <w:t>of a</w:t>
      </w:r>
      <w:r w:rsidR="00E24BD3" w:rsidRPr="008739B9">
        <w:t xml:space="preserve"> </w:t>
      </w:r>
      <w:r w:rsidR="008C4958" w:rsidRPr="008739B9">
        <w:t xml:space="preserve">warm and </w:t>
      </w:r>
      <w:r w:rsidR="00E24BD3" w:rsidRPr="008739B9">
        <w:t>moist airmass over a thermodynamically colder surface</w:t>
      </w:r>
      <w:r w:rsidR="00DE2777" w:rsidRPr="008739B9">
        <w:t xml:space="preserve"> </w:t>
      </w:r>
      <w:r w:rsidR="00DE2777" w:rsidRPr="008739B9">
        <w:fldChar w:fldCharType="begin"/>
      </w:r>
      <w:r w:rsidR="00DE2777" w:rsidRPr="008739B9">
        <w:instrText xml:space="preserve"> ADDIN ZOTERO_ITEM CSL_CITATION {"citationID":"QG6Cbhx1","properties":{"formattedCitation":"(Liu et al. 2016)","plainCitation":"(Liu et al. 2016)","noteIndex":0},"citationItems":[{"id":95,"uris":["http://zotero.org/users/local/LzhHb4Ct/items/WXA6NLGM"],"itemData":{"id":95,"type":"article-journal","abstract":"A large quantity of advection fog appeared in the Yangtze River delta region between 1 and 2 December 2009. Here, we detail the fog formation and dissipation processes and the background weather conditions. The fog boundary layer and its formation and dissipation mechanisms have also been analyzed using field data recorded in a northern suburb of Nanjing. The results showed the following: (1) This advection fog was generated by interaction between advection of a north-east cold ground layer and a south-east warm upper layer. The double-inversion structure generated by this interaction between the cold and warm advections and steady south-east vapour transport was the main cause of this long-lasting fog. The double-inversion structure provided good thermal conditions for the thick fog, and the south-east vapour transport was not only conducive to maintaining the thickness of the fog but also sustained its long duration. (2) The fog-top altitude was over 600 m for most of the time, and the fog reduced visibility to less than 100 m for approximately 12 h. (3) The low-level jet near the lower inversion layer also played a role in maintaining the thick fog system by promoting heat, momentum and south-east vapour transport.","container-title":"Boundary-Layer Meteorology","DOI":"10.1007/s10546-015-0076-y","ISSN":"1573-1472","issue":"1","journalAbbreviation":"Boundary-Layer Meteorol","language":"en","page":"125-138","source":"Springer Link","title":"A Study of the Physical Processes of an Advection Fog Boundary Layer","volume":"158","author":[{"family":"Liu","given":"Duan Yang"},{"family":"Yan","given":"Wen Lian"},{"family":"Yang","given":"Jun"},{"family":"Pu","given":"Mei Juan"},{"family":"Niu","given":"Sheng Jie"},{"family":"Li","given":"Zi Hua"}],"issued":{"date-parts":[["2016",1,1]]}}}],"schema":"https://github.com/citation-style-language/schema/raw/master/csl-citation.json"} </w:instrText>
      </w:r>
      <w:r w:rsidR="00DE2777" w:rsidRPr="008739B9">
        <w:fldChar w:fldCharType="separate"/>
      </w:r>
      <w:r w:rsidR="00DE2777" w:rsidRPr="008739B9">
        <w:t>(Liu et al. 2016)</w:t>
      </w:r>
      <w:r w:rsidR="00DE2777" w:rsidRPr="008739B9">
        <w:fldChar w:fldCharType="end"/>
      </w:r>
      <w:r w:rsidR="00E24BD3" w:rsidRPr="008739B9">
        <w:t xml:space="preserve">. </w:t>
      </w:r>
      <w:r w:rsidR="008C4958" w:rsidRPr="008739B9">
        <w:t>As the warm airmass cools</w:t>
      </w:r>
      <w:r w:rsidR="0080085C" w:rsidRPr="008739B9">
        <w:t>,</w:t>
      </w:r>
      <w:r w:rsidR="008C4958" w:rsidRPr="008739B9">
        <w:t xml:space="preserve"> relative humidity increases while specific humidity remains constant, resulting in eventual condensation of the airmass</w:t>
      </w:r>
      <w:r w:rsidR="00CB016A" w:rsidRPr="008739B9">
        <w:t xml:space="preserve"> (</w:t>
      </w:r>
      <w:r w:rsidR="00CB016A" w:rsidRPr="008739B9">
        <w:fldChar w:fldCharType="begin"/>
      </w:r>
      <w:r w:rsidR="002976D4" w:rsidRPr="008739B9">
        <w:instrText xml:space="preserve"> ADDIN ZOTERO_ITEM CSL_CITATION {"citationID":"OsQtHogR","properties":{"formattedCitation":"(Willett 1928)","plainCitation":"(Willett 1928)","dontUpdate":true,"noteIndex":0},"citationItems":[{"id":93,"uris":["http://zotero.org/users/local/LzhHb4Ct/items/7QVCYG6D"],"itemData":{"id":93,"type":"article-journal","abstract":"SYNOPSIS This paper contains the results of a year's study of fog and haze, both their present synoptic treatment and the more recent literature dealing with them at some of the principal European forecast and aviation centers. The greater part of the investigation was made at the Geophysical Institute of Bergen, Norway, with shorter stays at Lindenburg Aeronautical Observatory and Tempelhof Field near Berlin, at the meteorological office and Le Bourget, Paris, and at the meteorological office and Croyden, London. Grateful acknowledgments are due to the officials of and others connected with those institutions for courtesies shown during this investigation. Part I contains a brief summary of the present state of our knowledge of nuclei of condensation, paying special attention to Aitken's and Köhler's investigations of hygroscopic nuclei, and the general evidence favoring the theory that condensation begins on hygroscopic nuclei rather than on ions or neutral dust particles. Part II contains a general classification of the kinds of fog, followed by a consideration of the causes, characteristics, and distribution of each type. This whole development is carried out in terms of the Bergen methods of air mass analysis, because these are the only methods of synoptic treatment which stress the fine observational distinctions necessary for the consideration of a meteorological element as sensitive as fog. Part III contains a statement of the fundamental principles to be followed in fog forecasting, again in terms of air mass properties, and a brief consideration of the application of these general principles to each specific type of fog. Part IV contains some general elementary considerations of relations between fog frequencies and type of exposure which should be noted in choosing an aerodrome site. Abbreviations used are as follows: Rw relative humidity with respect to water. Re relative humidity with respect to ice. T. A. tropical air. P. A. polar air. W. A. warm air. C. P. A. continental polar air. M. P. A. maritime polar air. Trans. A. transitional air. C. Trans. A. continental transitional air. M. Trans. A. maritime transitional air. Ta temperature of air just above ground surface. Ts temperature of ground (or Water) surface","container-title":"Monthly Weather Review","DOI":"10.1175/1520-0493(1928)56&lt;435:FAHTCD&gt;2.0.CO;2","ISSN":"1520-0493, 0027-0644","issue":"11","language":"EN","note":"publisher: American Meteorological Society\nsection: Monthly Weather Review","page":"435-468","source":"journals.ametsoc.org","title":"FOG AND HAZE, THEIR CAUSES, DISTRIBUTION, AND FORECASTING","volume":"56","author":[{"family":"Willett","given":"H. C."}],"issued":{"date-parts":[["1928",11,1]]}}}],"schema":"https://github.com/citation-style-language/schema/raw/master/csl-citation.json"} </w:instrText>
      </w:r>
      <w:r w:rsidR="00CB016A" w:rsidRPr="008739B9">
        <w:fldChar w:fldCharType="separate"/>
      </w:r>
      <w:r w:rsidR="00CB016A" w:rsidRPr="008739B9">
        <w:t>Willett 1928)</w:t>
      </w:r>
      <w:r w:rsidR="00CB016A" w:rsidRPr="008739B9">
        <w:fldChar w:fldCharType="end"/>
      </w:r>
      <w:r w:rsidR="008C4958" w:rsidRPr="008739B9">
        <w:t>.</w:t>
      </w:r>
      <w:r w:rsidR="00CB016A" w:rsidRPr="008739B9">
        <w:t xml:space="preserve"> Advection fog commonly occurs near coastal areas where interfaces of differing heat capacities (warmer moist ocean</w:t>
      </w:r>
      <w:r w:rsidR="00600DA3" w:rsidRPr="008739B9">
        <w:t xml:space="preserve">, </w:t>
      </w:r>
      <w:r w:rsidR="00CB016A" w:rsidRPr="008739B9">
        <w:t xml:space="preserve">cooler land) </w:t>
      </w:r>
      <w:r w:rsidR="00600DA3" w:rsidRPr="008739B9">
        <w:t xml:space="preserve">interact with </w:t>
      </w:r>
      <w:r w:rsidR="00CB016A" w:rsidRPr="008739B9">
        <w:t>favorable</w:t>
      </w:r>
      <w:r w:rsidR="00600DA3" w:rsidRPr="008739B9">
        <w:t xml:space="preserve"> low-level </w:t>
      </w:r>
      <w:r w:rsidR="00CB016A" w:rsidRPr="008739B9">
        <w:t xml:space="preserve">winds. As such, </w:t>
      </w:r>
      <w:r w:rsidR="004E54D1" w:rsidRPr="008739B9">
        <w:t xml:space="preserve">true </w:t>
      </w:r>
      <w:r w:rsidR="00CB016A" w:rsidRPr="008739B9">
        <w:t xml:space="preserve">advection fogs are </w:t>
      </w:r>
      <w:r w:rsidR="00600DA3" w:rsidRPr="008739B9">
        <w:t>uncommon within int</w:t>
      </w:r>
      <w:r w:rsidR="004E54D1" w:rsidRPr="008739B9">
        <w:t>ra</w:t>
      </w:r>
      <w:r w:rsidR="00600DA3" w:rsidRPr="008739B9">
        <w:t xml:space="preserve">continental </w:t>
      </w:r>
      <w:r w:rsidR="00DE2777" w:rsidRPr="008739B9">
        <w:t>regions</w:t>
      </w:r>
      <w:r w:rsidR="00600DA3" w:rsidRPr="008739B9">
        <w:t>. Radiation fogs are defined by strong radiative cooling</w:t>
      </w:r>
      <w:r w:rsidR="004E54D1" w:rsidRPr="008739B9">
        <w:t xml:space="preserve"> at the surface underneath extensive subsidence aloft</w:t>
      </w:r>
      <w:r w:rsidR="00D77BCD" w:rsidRPr="008739B9">
        <w:t>, typically maximized during the early morning hours</w:t>
      </w:r>
      <w:r w:rsidR="00F269EB" w:rsidRPr="008739B9">
        <w:t xml:space="preserve"> </w:t>
      </w:r>
      <w:r w:rsidR="00F269EB" w:rsidRPr="008739B9">
        <w:fldChar w:fldCharType="begin"/>
      </w:r>
      <w:r w:rsidR="00F269EB" w:rsidRPr="008739B9">
        <w:instrText xml:space="preserve"> ADDIN ZOTERO_ITEM CSL_CITATION {"citationID":"BUV6ZNfy","properties":{"formattedCitation":"(Gultepe et al. 2007)","plainCitation":"(Gultepe et al. 2007)","noteIndex":0},"citationItems":[{"id":72,"uris":["http://zotero.org/users/local/LzhHb4Ct/items/39QRB4K2"],"itemData":{"id":72,"type":"article-journal","abstract":"The scientific community that includes meteorologists, physical scientists, engineers, medical doctors, biologists, and environmentalists has shown interest in a better understanding of fog for years because of its effects on, directly or indirectly, the daily life of human beings. The total economic losses associated with the impact of the presence of fog on aviation, marine and land transportation can be comparable to those of tornadoes or, in some cases, winter storms and hurricanes. The number of articles including the word \"fog'' in Journals of American Meteorological Society alone was found to be about 4700, indicating that there is substantial interest in this subject. In spite of this extensive body of work, our ability to accurately forecast/nowcast fog remains limited due to our incomplete understanding of the fog processes over various time and space scales. Fog processes involve droplet microphysics, aerosol chemistry, radiation, turbulence, large/small-scale dynamics, and surface conditions (e.g., partaining to the presence of ice, snow, liquid, plants, and various types of soil). This review paper summarizes past achievements related to the understanding of fog formation, development and decay, and in this respect, the analysis of observations and the development of forecasting models and remote sensing methods are discussed in detail. Finally, future perspectives for fog-related research are highlighted.","container-title":"Pure and Applied Geophysics","journalAbbreviation":"Pure and Applied Geophysics","page":"1121-1159","source":"ResearchGate","title":"Fog research: A review of past achievements and future perspectives.","title-short":"Fog research","volume":"164","author":[{"family":"Gultepe","given":"Ismail"},{"family":"Tardif","given":"Robert"},{"family":"Michaelides","given":"Silas"},{"family":"Cermak","given":"Jan"},{"family":"Bott","given":"Andreas"},{"family":"Muller","given":"M."},{"family":"Pagowski","given":"Mariusz"},{"family":"Hansen","given":"B."},{"family":"Ellrod","given":"Gary"},{"family":"Jacobs","given":"W."},{"family":"Toth","given":"G."},{"family":"Cober","given":"S."}],"issued":{"date-parts":[["2007",6,1]]}}}],"schema":"https://github.com/citation-style-language/schema/raw/master/csl-citation.json"} </w:instrText>
      </w:r>
      <w:r w:rsidR="00F269EB" w:rsidRPr="008739B9">
        <w:fldChar w:fldCharType="separate"/>
      </w:r>
      <w:r w:rsidR="00F269EB" w:rsidRPr="008739B9">
        <w:t>(Gultepe et al. 2007)</w:t>
      </w:r>
      <w:r w:rsidR="00F269EB" w:rsidRPr="008739B9">
        <w:fldChar w:fldCharType="end"/>
      </w:r>
      <w:r w:rsidR="004E54D1" w:rsidRPr="008739B9">
        <w:t>. Clear skies and a sinking</w:t>
      </w:r>
      <w:r w:rsidR="00D77BCD" w:rsidRPr="008739B9">
        <w:t xml:space="preserve"> stagnant</w:t>
      </w:r>
      <w:r w:rsidR="004E54D1" w:rsidRPr="008739B9">
        <w:t xml:space="preserve"> airmass allow for </w:t>
      </w:r>
      <w:r w:rsidR="00D77BCD" w:rsidRPr="008739B9">
        <w:t xml:space="preserve">efficient heat removal, allowing </w:t>
      </w:r>
      <w:r w:rsidR="004E54D1" w:rsidRPr="008739B9">
        <w:t xml:space="preserve">temperatures to lower to the dew point and initiate condensation of the </w:t>
      </w:r>
      <w:r w:rsidR="00D77BCD" w:rsidRPr="008739B9">
        <w:t xml:space="preserve">near-surface layer. Radiation fogs favor high mountain valleys and </w:t>
      </w:r>
      <w:r w:rsidR="00DE2777" w:rsidRPr="008739B9">
        <w:t>uniform surfaces of lower heat capacities.</w:t>
      </w:r>
      <w:r w:rsidR="008C3BF7">
        <w:t xml:space="preserve"> </w:t>
      </w:r>
      <w:r w:rsidR="00693601">
        <w:t>Also known as advection-radiation fogs, m</w:t>
      </w:r>
      <w:r w:rsidR="008C3BF7">
        <w:t>aritime fogs function as a combination of radiative and advective processes</w:t>
      </w:r>
      <w:r w:rsidR="00693601">
        <w:t>,</w:t>
      </w:r>
      <w:r w:rsidR="008C3BF7">
        <w:t xml:space="preserve"> </w:t>
      </w:r>
      <w:r w:rsidR="00F81F39">
        <w:t xml:space="preserve">where a maritime airmass (often transitional) advects inland over a radiatively cooled land surface </w:t>
      </w:r>
      <w:r w:rsidR="00F81F39">
        <w:fldChar w:fldCharType="begin"/>
      </w:r>
      <w:r w:rsidR="00693601">
        <w:instrText xml:space="preserve"> ADDIN ZOTERO_ITEM CSL_CITATION {"citationID":"IJvcjkpl","properties":{"formattedCitation":"(Willett 1928; Gultepe et al. 2007)","plainCitation":"(Willett 1928; Gultepe et al. 2007)","noteIndex":0},"citationItems":[{"id":93,"uris":["http://zotero.org/users/local/LzhHb4Ct/items/7QVCYG6D"],"itemData":{"id":93,"type":"article-journal","abstract":"SYNOPSIS This paper contains the results of a year's study of fog and haze, both their present synoptic treatment and the more recent literature dealing with them at some of the principal European forecast and aviation centers. The greater part of the investigation was made at the Geophysical Institute of Bergen, Norway, with shorter stays at Lindenburg Aeronautical Observatory and Tempelhof Field near Berlin, at the meteorological office and Le Bourget, Paris, and at the meteorological office and Croyden, London. Grateful acknowledgments are due to the officials of and others connected with those institutions for courtesies shown during this investigation. Part I contains a brief summary of the present state of our knowledge of nuclei of condensation, paying special attention to Aitken's and Köhler's investigations of hygroscopic nuclei, and the general evidence favoring the theory that condensation begins on hygroscopic nuclei rather than on ions or neutral dust particles. Part II contains a general classification of the kinds of fog, followed by a consideration of the causes, characteristics, and distribution of each type. This whole development is carried out in terms of the Bergen methods of air mass analysis, because these are the only methods of synoptic treatment which stress the fine observational distinctions necessary for the consideration of a meteorological element as sensitive as fog. Part III contains a statement of the fundamental principles to be followed in fog forecasting, again in terms of air mass properties, and a brief consideration of the application of these general principles to each specific type of fog. Part IV contains some general elementary considerations of relations between fog frequencies and type of exposure which should be noted in choosing an aerodrome site. Abbreviations used are as follows: Rw relative humidity with respect to water. Re relative humidity with respect to ice. T. A. tropical air. P. A. polar air. W. A. warm air. C. P. A. continental polar air. M. P. A. maritime polar air. Trans. A. transitional air. C. Trans. A. continental transitional air. M. Trans. A. maritime transitional air. Ta temperature of air just above ground surface. Ts temperature of ground (or Water) surface","container-title":"Monthly Weather Review","DOI":"10.1175/1520-0493(1928)56&lt;435:FAHTCD&gt;2.0.CO;2","ISSN":"1520-0493, 0027-0644","issue":"11","language":"EN","note":"publisher: American Meteorological Society\nsection: Monthly Weather Review","page":"435-468","source":"journals.ametsoc.org","title":"FOG AND HAZE, THEIR CAUSES, DISTRIBUTION, AND FORECASTING","volume":"56","author":[{"family":"Willett","given":"H. C."}],"issued":{"date-parts":[["1928",11,1]]}}},{"id":72,"uris":["http://zotero.org/users/local/LzhHb4Ct/items/39QRB4K2"],"itemData":{"id":72,"type":"article-journal","abstract":"The scientific community that includes meteorologists, physical scientists, engineers, medical doctors, biologists, and environmentalists has shown interest in a better understanding of fog for years because of its effects on, directly or indirectly, the daily life of human beings. The total economic losses associated with the impact of the presence of fog on aviation, marine and land transportation can be comparable to those of tornadoes or, in some cases, winter storms and hurricanes. The number of articles including the word \"fog'' in Journals of American Meteorological Society alone was found to be about 4700, indicating that there is substantial interest in this subject. In spite of this extensive body of work, our ability to accurately forecast/nowcast fog remains limited due to our incomplete understanding of the fog processes over various time and space scales. Fog processes involve droplet microphysics, aerosol chemistry, radiation, turbulence, large/small-scale dynamics, and surface conditions (e.g., partaining to the presence of ice, snow, liquid, plants, and various types of soil). This review paper summarizes past achievements related to the understanding of fog formation, development and decay, and in this respect, the analysis of observations and the development of forecasting models and remote sensing methods are discussed in detail. Finally, future perspectives for fog-related research are highlighted.","container-title":"Pure and Applied Geophysics","journalAbbreviation":"Pure and Applied Geophysics","page":"1121-1159","source":"ResearchGate","title":"Fog research: A review of past achievements and future perspectives.","title-short":"Fog research","volume":"164","author":[{"family":"Gultepe","given":"Ismail"},{"family":"Tardif","given":"Robert"},{"family":"Michaelides","given":"Silas"},{"family":"Cermak","given":"Jan"},{"family":"Bott","given":"Andreas"},{"family":"Muller","given":"M."},{"family":"Pagowski","given":"Mariusz"},{"family":"Hansen","given":"B."},{"family":"Ellrod","given":"Gary"},{"family":"Jacobs","given":"W."},{"family":"Toth","given":"G."},{"family":"Cober","given":"S."}],"issued":{"date-parts":[["2007",6,1]]}}}],"schema":"https://github.com/citation-style-language/schema/raw/master/csl-citation.json"} </w:instrText>
      </w:r>
      <w:r w:rsidR="00F81F39">
        <w:fldChar w:fldCharType="separate"/>
      </w:r>
      <w:r w:rsidR="00693601" w:rsidRPr="00693601">
        <w:t>(Willett 1928; Gultepe et al. 2007)</w:t>
      </w:r>
      <w:r w:rsidR="00F81F39">
        <w:fldChar w:fldCharType="end"/>
      </w:r>
      <w:r w:rsidR="00F81F39">
        <w:t>.</w:t>
      </w:r>
      <w:r w:rsidR="00693601">
        <w:t xml:space="preserve"> Advection-radiation fogs can occur along any large bodies of water, where </w:t>
      </w:r>
      <w:r w:rsidR="00C47152">
        <w:t>advantageous</w:t>
      </w:r>
      <w:r w:rsidR="00693601">
        <w:t xml:space="preserve"> conditions for radiative cooling interact with </w:t>
      </w:r>
      <w:r w:rsidR="00C47152">
        <w:t>transitory lake/sea breezes (</w:t>
      </w:r>
      <w:r w:rsidR="00C47152">
        <w:fldChar w:fldCharType="begin"/>
      </w:r>
      <w:r w:rsidR="006422AD">
        <w:instrText xml:space="preserve"> ADDIN ZOTERO_ITEM CSL_CITATION {"citationID":"qZFtY0kc","properties":{"formattedCitation":"(Ryznar 1977)","plainCitation":"(Ryznar 1977)","dontUpdate":true,"noteIndex":0},"citationItems":[{"id":166,"uris":["http://zotero.org/users/local/LzhHb4Ct/items/IM8E79QY"],"itemData":{"id":166,"type":"article-journal","abstract":"Two years of visibility measurements made about 1 and 19 km from Lake Michigan are analyzed to determine occurrences of advection-radiation fog. Occurrences at both stations are most frequent in the summer months, and the 1-km station has about twice as many hours of fog as the 19-km station. The reason is that a combination of onshore gradient winds and lake breezes acts to maintain higher average relative humidities at the 1-km station, with terrain differences of secondary importance.","container-title":"Atmospheric Environment (1967)","DOI":"10.1016/0004-6981(77)90004-X","ISSN":"0004-6981","issue":"5","journalAbbreviation":"Atmospheric Environment (1967)","page":"427-430","source":"ScienceDirect","title":"Advection-radiation fog near lake Michigan","volume":"11","author":[{"family":"Ryznar","given":"Edward"}],"issued":{"date-parts":[["1977",1,1]]}}}],"schema":"https://github.com/citation-style-language/schema/raw/master/csl-citation.json"} </w:instrText>
      </w:r>
      <w:r w:rsidR="00C47152">
        <w:fldChar w:fldCharType="separate"/>
      </w:r>
      <w:r w:rsidR="00C47152" w:rsidRPr="00C47152">
        <w:t>Ryznar 1977)</w:t>
      </w:r>
      <w:r w:rsidR="00C47152">
        <w:fldChar w:fldCharType="end"/>
      </w:r>
      <w:r w:rsidR="00C47152">
        <w:t>.</w:t>
      </w:r>
    </w:p>
    <w:p w14:paraId="76FF9051" w14:textId="6EE1743A" w:rsidR="006553CD" w:rsidRPr="008739B9" w:rsidRDefault="003F34CB" w:rsidP="008739B9">
      <w:pPr>
        <w:pStyle w:val="TextFormat"/>
      </w:pPr>
      <w:r w:rsidRPr="008739B9">
        <w:t>M</w:t>
      </w:r>
      <w:r w:rsidR="00336C01" w:rsidRPr="008739B9">
        <w:t>ethods</w:t>
      </w:r>
      <w:r w:rsidR="0047688E" w:rsidRPr="008739B9">
        <w:t xml:space="preserve"> to </w:t>
      </w:r>
      <w:r w:rsidR="00C77EB2" w:rsidRPr="008739B9">
        <w:t xml:space="preserve">anthropogenically </w:t>
      </w:r>
      <w:r w:rsidR="0047688E" w:rsidRPr="008739B9">
        <w:t xml:space="preserve">dissipate fog </w:t>
      </w:r>
      <w:r w:rsidR="00CD7B59" w:rsidRPr="008739B9">
        <w:t>and near-surface cloudiness</w:t>
      </w:r>
      <w:r w:rsidR="00B74247" w:rsidRPr="008739B9">
        <w:t>,</w:t>
      </w:r>
      <w:r w:rsidR="00CD7B59" w:rsidRPr="008739B9">
        <w:t xml:space="preserve"> are dependent on </w:t>
      </w:r>
      <w:r w:rsidR="00D81AF7" w:rsidRPr="008739B9">
        <w:t xml:space="preserve">its physical </w:t>
      </w:r>
      <w:r w:rsidR="00310642" w:rsidRPr="008739B9">
        <w:t>characteristics</w:t>
      </w:r>
      <w:r w:rsidR="00A76F30" w:rsidRPr="008739B9">
        <w:t xml:space="preserve"> and temperature</w:t>
      </w:r>
      <w:r w:rsidR="00D81AF7" w:rsidRPr="008739B9">
        <w:t xml:space="preserve">. </w:t>
      </w:r>
      <w:r w:rsidR="00390F8D" w:rsidRPr="008739B9">
        <w:t xml:space="preserve">Ice fog </w:t>
      </w:r>
      <w:r w:rsidR="00091060" w:rsidRPr="008739B9">
        <w:t xml:space="preserve">is comprised </w:t>
      </w:r>
      <w:r w:rsidR="00990EBB" w:rsidRPr="008739B9">
        <w:t xml:space="preserve">of suspended ice crystals </w:t>
      </w:r>
      <w:r w:rsidR="00230750" w:rsidRPr="008739B9">
        <w:t>at</w:t>
      </w:r>
      <w:r w:rsidR="00B74247" w:rsidRPr="008739B9">
        <w:t>,</w:t>
      </w:r>
      <w:r w:rsidR="00230750" w:rsidRPr="008739B9">
        <w:t xml:space="preserve"> or </w:t>
      </w:r>
      <w:r w:rsidR="00990EBB" w:rsidRPr="008739B9">
        <w:t>near</w:t>
      </w:r>
      <w:r w:rsidR="00B74247" w:rsidRPr="008739B9">
        <w:t>,</w:t>
      </w:r>
      <w:r w:rsidR="00990EBB" w:rsidRPr="008739B9">
        <w:t xml:space="preserve"> the surface </w:t>
      </w:r>
      <w:r w:rsidR="00B74247" w:rsidRPr="008739B9">
        <w:t>with</w:t>
      </w:r>
      <w:r w:rsidR="00696B66" w:rsidRPr="008739B9">
        <w:t xml:space="preserve"> temperatures </w:t>
      </w:r>
      <w:r w:rsidR="00EE3FC1" w:rsidRPr="008739B9">
        <w:t>less than</w:t>
      </w:r>
      <w:r w:rsidR="00865A1B" w:rsidRPr="008739B9">
        <w:t xml:space="preserve"> -20</w:t>
      </w:r>
      <w:r w:rsidR="00A321DA" w:rsidRPr="008739B9">
        <w:t xml:space="preserve"> °C</w:t>
      </w:r>
      <w:r w:rsidR="006936A4" w:rsidRPr="008739B9">
        <w:t xml:space="preserve"> </w:t>
      </w:r>
      <w:r w:rsidR="00450F09" w:rsidRPr="008739B9">
        <w:fldChar w:fldCharType="begin"/>
      </w:r>
      <w:r w:rsidR="00450F09" w:rsidRPr="008739B9">
        <w:instrText xml:space="preserve"> ADDIN ZOTERO_ITEM CSL_CITATION {"citationID":"son2cogh","properties":{"formattedCitation":"(Gultepe et al. 2017)","plainCitation":"(Gultepe et al. 2017)","noteIndex":0},"citationItems":[{"id":104,"uris":["http://zotero.org/users/local/LzhHb4Ct/items/FEZHD89T"],"itemData":{"id":104,"type":"article-journal","abstract":"Abstract Ice fog is a natural, outdoor cloud laboratory that provides an excellent opportunity to study ice microphysical processes. Ice crystals in fog are formed through similar pathways as those in elevated clouds; that is, cloud condensation or ice nuclei are activated in an atmosphere supersaturated with respect to liquid water or ice. The primary differences between surface and elevated ice clouds are related to the sources of water vapor, the cooling mechanisms and dynamical processes leading to supersaturation, and the microphysical characteristics of the nuclei that affect ice fog crystal physical properties. As with any fog, its presence can be a hazard for ground or airborne traffic because of poor visibility and icing. In addition, ice fog plays a role in climate change by modulating the heat and moisture budgets. Ice fog wintertime occurrence in many parts of the world can have a significant impact on the environment. Global climate models need to accurately account for the temporal and spatial microphysical and optical properties of ice fog, as do weather forecast models. The primary handicap is the lack of adequate information on nucleation processes and microphysical algorithms that accurately represent glaciation of supercooled water fog. This chapter summarizes the current understanding of ice fog formation and evolution; discusses operating principles, limitations, and uncertainties associated with the instruments used to measure ice fog microphysical properties; describes the prediction of ice fog by the numerical forecast models and physical parameterizations used in climate models; identifies the outstanding questions to be resolved; and lists recommended actions to address and solve these questions.","container-title":"Meteorological Monographs","DOI":"10.1175/AMSMONOGRAPHS-D-17-0002.1","issue":"1","language":"EN","note":"publisher: American Meteorological Society\nsection: Meteorological Monographs","page":"4.1-4.24","source":"journals.ametsoc.org","title":"Ice Fog: The Current State of Knowledge and Future Challenges","title-short":"Ice Fog","volume":"58","author":[{"family":"Gultepe","given":"Ismail"},{"family":"Heymsfield","given":"Andrew J."},{"family":"Gallagher","given":"Martin"},{"family":"Ickes","given":"Luisa"},{"family":"Baumgardner","given":"Darrel"}],"issued":{"date-parts":[["2017",1,1]]}}}],"schema":"https://github.com/citation-style-language/schema/raw/master/csl-citation.json"} </w:instrText>
      </w:r>
      <w:r w:rsidR="00450F09" w:rsidRPr="008739B9">
        <w:fldChar w:fldCharType="separate"/>
      </w:r>
      <w:r w:rsidR="00450F09" w:rsidRPr="008739B9">
        <w:t>(Gultepe et al. 2017)</w:t>
      </w:r>
      <w:r w:rsidR="00450F09" w:rsidRPr="008739B9">
        <w:fldChar w:fldCharType="end"/>
      </w:r>
      <w:r w:rsidR="00450F09" w:rsidRPr="008739B9">
        <w:t>.</w:t>
      </w:r>
      <w:r w:rsidR="00F5579D" w:rsidRPr="008739B9">
        <w:t xml:space="preserve"> </w:t>
      </w:r>
      <w:r w:rsidR="00377B3F" w:rsidRPr="008739B9">
        <w:t xml:space="preserve">Limited to high-latitude </w:t>
      </w:r>
      <w:r w:rsidR="00377B3F" w:rsidRPr="008739B9">
        <w:lastRenderedPageBreak/>
        <w:t xml:space="preserve">artic regions, </w:t>
      </w:r>
      <w:r w:rsidR="00D456A1" w:rsidRPr="008739B9">
        <w:t xml:space="preserve">ice fog </w:t>
      </w:r>
      <w:r w:rsidR="0023255B" w:rsidRPr="008739B9">
        <w:t>is relatively common in the vicinity of vapor s</w:t>
      </w:r>
      <w:r w:rsidR="002E29B1" w:rsidRPr="008739B9">
        <w:t>ources</w:t>
      </w:r>
      <w:r w:rsidR="00EE3FC1" w:rsidRPr="008739B9">
        <w:t>,</w:t>
      </w:r>
      <w:r w:rsidR="002E29B1" w:rsidRPr="008739B9">
        <w:t xml:space="preserve"> </w:t>
      </w:r>
      <w:r w:rsidR="00151B42" w:rsidRPr="008739B9">
        <w:t xml:space="preserve">such as </w:t>
      </w:r>
      <w:r w:rsidR="00EC17BF" w:rsidRPr="008739B9">
        <w:t xml:space="preserve">lakes, rivers, </w:t>
      </w:r>
      <w:r w:rsidR="00B81E9B" w:rsidRPr="008739B9">
        <w:t xml:space="preserve">and anthropogenic </w:t>
      </w:r>
      <w:r w:rsidR="00EE3FC1" w:rsidRPr="008739B9">
        <w:t>emissions</w:t>
      </w:r>
      <w:r w:rsidR="00B81E9B" w:rsidRPr="008739B9">
        <w:t xml:space="preserve"> </w:t>
      </w:r>
      <w:r w:rsidR="00B81E9B" w:rsidRPr="008739B9">
        <w:fldChar w:fldCharType="begin"/>
      </w:r>
      <w:r w:rsidR="00B81E9B" w:rsidRPr="008739B9">
        <w:instrText xml:space="preserve"> ADDIN ZOTERO_ITEM CSL_CITATION {"citationID":"cMnVscZx","properties":{"formattedCitation":"(Weinstein 1977)","plainCitation":"(Weinstein 1977)","noteIndex":0},"citationItems":[{"id":106,"uris":["http://zotero.org/users/local/LzhHb4Ct/items/9ZUI9Q7D"],"itemData":{"id":106,"type":"article-journal","container-title":"Journal of Aircraft","journalAbbreviation":"J. Aircraft","title":"Fog Dispersal: A Technology Assessment","volume":"14","author":[{"family":"Weinstein","given":"Alan I."}],"issued":{"date-parts":[["1977",1]]}}}],"schema":"https://github.com/citation-style-language/schema/raw/master/csl-citation.json"} </w:instrText>
      </w:r>
      <w:r w:rsidR="00B81E9B" w:rsidRPr="008739B9">
        <w:fldChar w:fldCharType="separate"/>
      </w:r>
      <w:r w:rsidR="00B81E9B" w:rsidRPr="008739B9">
        <w:t>(Weinstein 1977)</w:t>
      </w:r>
      <w:r w:rsidR="00B81E9B" w:rsidRPr="008739B9">
        <w:fldChar w:fldCharType="end"/>
      </w:r>
      <w:r w:rsidR="00B81E9B" w:rsidRPr="008739B9">
        <w:t xml:space="preserve">. </w:t>
      </w:r>
      <w:r w:rsidR="00EE3FC1" w:rsidRPr="008739B9">
        <w:t>Fog f</w:t>
      </w:r>
      <w:r w:rsidR="00FB1933" w:rsidRPr="008739B9">
        <w:t xml:space="preserve">ormation </w:t>
      </w:r>
      <w:r w:rsidR="00330313" w:rsidRPr="008739B9">
        <w:t xml:space="preserve">is </w:t>
      </w:r>
      <w:r w:rsidR="000F177D" w:rsidRPr="008739B9">
        <w:t>generally</w:t>
      </w:r>
      <w:r w:rsidR="0013028D" w:rsidRPr="008739B9">
        <w:t xml:space="preserve"> </w:t>
      </w:r>
      <w:r w:rsidR="00330313" w:rsidRPr="008739B9">
        <w:t>preceded by strong radiative cooling</w:t>
      </w:r>
      <w:r w:rsidR="004A1A90" w:rsidRPr="008739B9">
        <w:t xml:space="preserve">, </w:t>
      </w:r>
      <w:r w:rsidR="00CD011F" w:rsidRPr="008739B9">
        <w:t xml:space="preserve">a </w:t>
      </w:r>
      <w:r w:rsidR="004A1A90" w:rsidRPr="008739B9">
        <w:t xml:space="preserve">subsequent formation of a </w:t>
      </w:r>
      <w:r w:rsidR="00F066CD" w:rsidRPr="008739B9">
        <w:t xml:space="preserve">robust </w:t>
      </w:r>
      <w:r w:rsidR="003D26BD" w:rsidRPr="008739B9">
        <w:t>temperature inversion</w:t>
      </w:r>
      <w:r w:rsidR="00F066CD" w:rsidRPr="008739B9">
        <w:t>,</w:t>
      </w:r>
      <w:r w:rsidR="003D26BD" w:rsidRPr="008739B9">
        <w:t xml:space="preserve"> </w:t>
      </w:r>
      <w:r w:rsidR="00C14189" w:rsidRPr="008739B9">
        <w:t>and</w:t>
      </w:r>
      <w:r w:rsidR="00CD011F" w:rsidRPr="008739B9">
        <w:t xml:space="preserve"> a</w:t>
      </w:r>
      <w:r w:rsidR="00C14189" w:rsidRPr="008739B9">
        <w:t xml:space="preserve"> deep stable layer above </w:t>
      </w:r>
      <w:r w:rsidR="000E7EC0" w:rsidRPr="008739B9">
        <w:t xml:space="preserve">the surface </w:t>
      </w:r>
      <w:r w:rsidR="002E3997" w:rsidRPr="008739B9">
        <w:fldChar w:fldCharType="begin"/>
      </w:r>
      <w:r w:rsidR="002E3997" w:rsidRPr="008739B9">
        <w:instrText xml:space="preserve"> ADDIN ZOTERO_ITEM CSL_CITATION {"citationID":"0Dn29fcD","properties":{"formattedCitation":"(Gultepe et al. 2015, 2017; Leung et al. 2020)","plainCitation":"(Gultepe et al. 2015, 2017; Leung et al. 2020)","noteIndex":0},"citationItems":[{"id":108,"uris":["http://zotero.org/users/local/LzhHb4Ct/items/73YM8LQ7"],"itemData":{"id":108,"type":"article-journal","abstract":"The rate of weather-related aviation accident occurrence in the northern latitudes is likely 25 times higher than the national rate of Canada. If only cases where reduced visibility was a factor are considered, the average rate of occurrence in the north is about 31 times higher than the Canadian national rate. Ice fog occurs about 25% of the time in the northern latitudes and is an important contributor to low visibility. This suggests that a better understanding of ice fog prediction and detection is required over the northern latitudes. The objectives of this review are the following: 1) to summarize the current knowledge of ice fog microphysics, as inferred from observations and numerical weather prediction (NWP) models, and 2) to describe the remaining challenges associated with measuring ice fog properties, remote sensing microphysical retrievals, and simulating/predicting ice fog within numerical models. Overall, future challenges related to ice fog microphysics and visibility are summarized and current knowledge is emphasized.","collection-title":"Sixth International Conference on Fog, Fog Collection and Dew","container-title":"Atmospheric Research","DOI":"10.1016/j.atmosres.2014.04.014","ISSN":"0169-8095","journalAbbreviation":"Atmospheric Research","page":"2-19","source":"ScienceDirect","title":"A review on ice fog measurements and modeling","volume":"151","author":[{"family":"Gultepe","given":"I."},{"family":"Zhou","given":"B."},{"family":"Milbrandt","given":"J."},{"family":"Bott","given":"A."},{"family":"Li","given":"Y."},{"family":"Heymsfield","given":"A. J."},{"family":"Ferrier","given":"B."},{"family":"Ware","given":"R."},{"family":"Pavolonis","given":"M."},{"family":"Kuhn","given":"T."},{"family":"Gurka","given":"J."},{"family":"Liu","given":"P."},{"family":"Cermak","given":"J."}],"issued":{"date-parts":[["2015",1,1]]}}},{"id":104,"uris":["http://zotero.org/users/local/LzhHb4Ct/items/FEZHD89T"],"itemData":{"id":104,"type":"article-journal","abstract":"Abstract Ice fog is a natural, outdoor cloud laboratory that provides an excellent opportunity to study ice microphysical processes. Ice crystals in fog are formed through similar pathways as those in elevated clouds; that is, cloud condensation or ice nuclei are activated in an atmosphere supersaturated with respect to liquid water or ice. The primary differences between surface and elevated ice clouds are related to the sources of water vapor, the cooling mechanisms and dynamical processes leading to supersaturation, and the microphysical characteristics of the nuclei that affect ice fog crystal physical properties. As with any fog, its presence can be a hazard for ground or airborne traffic because of poor visibility and icing. In addition, ice fog plays a role in climate change by modulating the heat and moisture budgets. Ice fog wintertime occurrence in many parts of the world can have a significant impact on the environment. Global climate models need to accurately account for the temporal and spatial microphysical and optical properties of ice fog, as do weather forecast models. The primary handicap is the lack of adequate information on nucleation processes and microphysical algorithms that accurately represent glaciation of supercooled water fog. This chapter summarizes the current understanding of ice fog formation and evolution; discusses operating principles, limitations, and uncertainties associated with the instruments used to measure ice fog microphysical properties; describes the prediction of ice fog by the numerical forecast models and physical parameterizations used in climate models; identifies the outstanding questions to be resolved; and lists recommended actions to address and solve these questions.","container-title":"Meteorological Monographs","DOI":"10.1175/AMSMONOGRAPHS-D-17-0002.1","issue":"1","language":"EN","note":"publisher: American Meteorological Society\nsection: Meteorological Monographs","page":"4.1-4.24","source":"journals.ametsoc.org","title":"Ice Fog: The Current State of Knowledge and Future Challenges","title-short":"Ice Fog","volume":"58","author":[{"family":"Gultepe","given":"Ismail"},{"family":"Heymsfield","given":"Andrew J."},{"family":"Gallagher","given":"Martin"},{"family":"Ickes","given":"Luisa"},{"family":"Baumgardner","given":"Darrel"}],"issued":{"date-parts":[["2017",1,1]]}}},{"id":112,"uris":["http://zotero.org/users/local/LzhHb4Ct/items/8XV7DJIK"],"itemData":{"id":112,"type":"article-journal","abstract":"Fog and low visibility present a natural hazard for aviation in the Hudson Bay region. Sixteen communities on the eastern and western shores of Hudson and James Bays, Canada, were selected for fog, ice fog, and low visibility statistical analyses for a range of 21 to 62 year time series. Both fog hours and ice fog hours were found to be in general decline, with some locations experiencing statistically significant declines. Spatial asymmetries for fog and ice fog were observed among the various areas within the Hudson Bay region. The more northerly locations in this study experienced statistically significant declines in fog hours while the southerly locations’ declines were not significant. Fog was significantly declining in some western Hudson Bay locations during spring and fall and in James Bay during winter and summer, but minimal trends were observed in eastern Hudson Bay. For ice fog hours, all of the locations in the western shore of Hudson Bay experienced a significant decline in winter while only one-third of the locations in eastern shores were found to be declining significantly during winter. Blowing snow, snow, ice and fog were the leading causes for reduced and low visibilities at the majority of the locations. Other factors such as rain contributed a minor role to low visibility.","container-title":"Atmosphere","DOI":"10.3390/atmos11020186","ISSN":"2073-4433","issue":"2","language":"en","license":"http://creativecommons.org/licenses/by/3.0/","note":"number: 2\npublisher: Multidisciplinary Digital Publishing Institute","page":"186","source":"www.mdpi.com","title":"Changes in Fog, Ice Fog, and Low Visibility in the Hudson Bay Region: Impacts on Aviation","title-short":"Changes in Fog, Ice Fog, and Low Visibility in the Hudson Bay Region","volume":"11","author":[{"family":"Leung","given":"Andrew C. W."},{"family":"Gough","given":"William A."},{"family":"Butler","given":"Ken A."}],"issued":{"date-parts":[["2020",2]]}}}],"schema":"https://github.com/citation-style-language/schema/raw/master/csl-citation.json"} </w:instrText>
      </w:r>
      <w:r w:rsidR="002E3997" w:rsidRPr="008739B9">
        <w:fldChar w:fldCharType="separate"/>
      </w:r>
      <w:r w:rsidR="002E3997" w:rsidRPr="008739B9">
        <w:t>(Gultepe et al. 2015, 2017; Leung et al. 2020)</w:t>
      </w:r>
      <w:r w:rsidR="002E3997" w:rsidRPr="008739B9">
        <w:fldChar w:fldCharType="end"/>
      </w:r>
      <w:r w:rsidR="00B55FA5" w:rsidRPr="008739B9">
        <w:t>.</w:t>
      </w:r>
      <w:r w:rsidR="003D68C3" w:rsidRPr="008739B9">
        <w:t xml:space="preserve"> </w:t>
      </w:r>
      <w:r w:rsidR="00BF3DAB" w:rsidRPr="008739B9">
        <w:t xml:space="preserve">Once ice crystal formation has occurred, </w:t>
      </w:r>
      <w:r w:rsidR="00697FD9" w:rsidRPr="008739B9">
        <w:t xml:space="preserve">ice fog </w:t>
      </w:r>
      <w:r w:rsidR="00DF392A" w:rsidRPr="008739B9">
        <w:t xml:space="preserve">is exceedingly difficult to </w:t>
      </w:r>
      <w:r w:rsidR="009E0247" w:rsidRPr="008739B9">
        <w:t>disperse</w:t>
      </w:r>
      <w:r w:rsidR="0048007F" w:rsidRPr="008739B9">
        <w:t xml:space="preserve"> due to its thermodynamically stable</w:t>
      </w:r>
      <w:r w:rsidR="006E5DE0" w:rsidRPr="008739B9">
        <w:t xml:space="preserve"> nature</w:t>
      </w:r>
      <w:r w:rsidR="00DF392A" w:rsidRPr="008739B9">
        <w:t xml:space="preserve"> </w:t>
      </w:r>
      <w:r w:rsidR="00F523AC" w:rsidRPr="008739B9">
        <w:fldChar w:fldCharType="begin"/>
      </w:r>
      <w:r w:rsidR="00F523AC" w:rsidRPr="008739B9">
        <w:instrText xml:space="preserve"> ADDIN ZOTERO_ITEM CSL_CITATION {"citationID":"FtDl0TMz","properties":{"formattedCitation":"(Lease and Zeigler 1972)","plainCitation":"(Lease and Zeigler 1972)","noteIndex":0},"citationItems":[{"id":100,"uris":["http://zotero.org/users/local/LzhHb4Ct/items/7C8L7XZQ"],"itemData":{"id":100,"type":"article-journal","container-title":"The Military Engineer","ISSN":"0026-3982","issue":"420","note":"publisher: Society of American Military Engineers","page":"258-261","source":"JSTOR","title":"Doing Away with Fog","volume":"64","author":[{"family":"Lease","given":"John C."},{"family":"Zeigler","given":"Cary S."}],"issued":{"date-parts":[["1972"]]}}}],"schema":"https://github.com/citation-style-language/schema/raw/master/csl-citation.json"} </w:instrText>
      </w:r>
      <w:r w:rsidR="00F523AC" w:rsidRPr="008739B9">
        <w:fldChar w:fldCharType="separate"/>
      </w:r>
      <w:r w:rsidR="00F523AC" w:rsidRPr="008739B9">
        <w:t>(Lease and Zeigler 1972)</w:t>
      </w:r>
      <w:r w:rsidR="00F523AC" w:rsidRPr="008739B9">
        <w:fldChar w:fldCharType="end"/>
      </w:r>
      <w:r w:rsidR="00F523AC" w:rsidRPr="008739B9">
        <w:t xml:space="preserve">. </w:t>
      </w:r>
      <w:r w:rsidR="00980C16" w:rsidRPr="008739B9">
        <w:t>Modification efforts</w:t>
      </w:r>
      <w:r w:rsidR="00A253C7" w:rsidRPr="008739B9">
        <w:t xml:space="preserve"> </w:t>
      </w:r>
      <w:r w:rsidR="00373B4D" w:rsidRPr="008739B9">
        <w:t>via conventional aircraft downwash</w:t>
      </w:r>
      <w:r w:rsidR="00532E79" w:rsidRPr="008739B9">
        <w:t xml:space="preserve"> </w:t>
      </w:r>
      <w:r w:rsidR="005E5A95" w:rsidRPr="008739B9">
        <w:t xml:space="preserve">of drier air </w:t>
      </w:r>
      <w:r w:rsidR="00B45EFD" w:rsidRPr="008739B9">
        <w:t>results in limited</w:t>
      </w:r>
      <w:r w:rsidR="003C28A1" w:rsidRPr="008739B9">
        <w:t xml:space="preserve"> </w:t>
      </w:r>
      <w:r w:rsidR="000339EA" w:rsidRPr="008739B9">
        <w:t>improvement</w:t>
      </w:r>
      <w:r w:rsidR="002F4B83" w:rsidRPr="008739B9">
        <w:t xml:space="preserve">, with </w:t>
      </w:r>
      <w:r w:rsidR="000339EA" w:rsidRPr="008739B9">
        <w:t xml:space="preserve">successful </w:t>
      </w:r>
      <w:r w:rsidR="002F4B83" w:rsidRPr="008739B9">
        <w:t xml:space="preserve">dispersal methods </w:t>
      </w:r>
      <w:r w:rsidR="000339EA" w:rsidRPr="008739B9">
        <w:t xml:space="preserve">relegated to preventative measures </w:t>
      </w:r>
      <w:r w:rsidR="001C5289" w:rsidRPr="008739B9">
        <w:t xml:space="preserve">in transporting anthropogenic vapor sources </w:t>
      </w:r>
      <w:r w:rsidR="008D5D44" w:rsidRPr="008739B9">
        <w:fldChar w:fldCharType="begin"/>
      </w:r>
      <w:r w:rsidR="008D5D44" w:rsidRPr="008739B9">
        <w:instrText xml:space="preserve"> ADDIN ZOTERO_ITEM CSL_CITATION {"citationID":"xMnDTTBW","properties":{"formattedCitation":"(Weinstein 1977)","plainCitation":"(Weinstein 1977)","noteIndex":0},"citationItems":[{"id":106,"uris":["http://zotero.org/users/local/LzhHb4Ct/items/9ZUI9Q7D"],"itemData":{"id":106,"type":"article-journal","container-title":"Journal of Aircraft","journalAbbreviation":"J. Aircraft","title":"Fog Dispersal: A Technology Assessment","volume":"14","author":[{"family":"Weinstein","given":"Alan I."}],"issued":{"date-parts":[["1977",1]]}}}],"schema":"https://github.com/citation-style-language/schema/raw/master/csl-citation.json"} </w:instrText>
      </w:r>
      <w:r w:rsidR="008D5D44" w:rsidRPr="008739B9">
        <w:fldChar w:fldCharType="separate"/>
      </w:r>
      <w:r w:rsidR="008D5D44" w:rsidRPr="008739B9">
        <w:t>(Weinstein 1977)</w:t>
      </w:r>
      <w:r w:rsidR="008D5D44" w:rsidRPr="008739B9">
        <w:fldChar w:fldCharType="end"/>
      </w:r>
      <w:r w:rsidR="0022102F" w:rsidRPr="008739B9">
        <w:t>.</w:t>
      </w:r>
      <w:r w:rsidR="009275E7" w:rsidRPr="008739B9">
        <w:t xml:space="preserve"> </w:t>
      </w:r>
    </w:p>
    <w:p w14:paraId="5AC9485A" w14:textId="09A0B133" w:rsidR="00DF082B" w:rsidRPr="008739B9" w:rsidRDefault="003E3216" w:rsidP="008739B9">
      <w:pPr>
        <w:pStyle w:val="TextFormat"/>
      </w:pPr>
      <w:r w:rsidRPr="008739B9">
        <w:t>W</w:t>
      </w:r>
      <w:r w:rsidR="00B7354D" w:rsidRPr="008739B9">
        <w:t>arm fog consists of suspende</w:t>
      </w:r>
      <w:r w:rsidR="007A71C9" w:rsidRPr="008739B9">
        <w:t xml:space="preserve">d </w:t>
      </w:r>
      <w:r w:rsidR="00D91A23" w:rsidRPr="008739B9">
        <w:t xml:space="preserve">hydrometeors </w:t>
      </w:r>
      <w:r w:rsidR="009C5062" w:rsidRPr="008739B9">
        <w:t xml:space="preserve">along the surface </w:t>
      </w:r>
      <w:r w:rsidR="00E42576" w:rsidRPr="008739B9">
        <w:t>at temperatures</w:t>
      </w:r>
      <w:r w:rsidR="009C5062" w:rsidRPr="008739B9">
        <w:t xml:space="preserve"> </w:t>
      </w:r>
      <w:r w:rsidR="00E42576" w:rsidRPr="008739B9">
        <w:t>greater than the nominal freezing point</w:t>
      </w:r>
      <w:r w:rsidR="00EE3FC1" w:rsidRPr="008739B9">
        <w:t xml:space="preserve"> of</w:t>
      </w:r>
      <w:r w:rsidR="009C5062" w:rsidRPr="008739B9">
        <w:t xml:space="preserve"> 0 °C</w:t>
      </w:r>
      <w:r w:rsidR="000272D4" w:rsidRPr="008739B9">
        <w:t xml:space="preserve"> and is the most common type of fog in the mid-latitudes</w:t>
      </w:r>
      <w:r w:rsidR="009C5062" w:rsidRPr="008739B9">
        <w:t xml:space="preserve">. </w:t>
      </w:r>
      <w:r w:rsidR="00326827" w:rsidRPr="008739B9">
        <w:t xml:space="preserve">According to </w:t>
      </w:r>
      <w:r w:rsidR="00326827" w:rsidRPr="008739B9">
        <w:fldChar w:fldCharType="begin"/>
      </w:r>
      <w:r w:rsidR="006422AD">
        <w:instrText xml:space="preserve"> ADDIN ZOTERO_ITEM CSL_CITATION {"citationID":"GraRCteX","properties":{"formattedCitation":"(Weinstein 1974)","plainCitation":"(Weinstein 1974)","dontUpdate":true,"noteIndex":0},"citationItems":[{"id":"2zGPmLrU/lTTnfKv1","uris":["http://zotero.org/users/10372145/items/LNE8ACRX"],"itemData":{"id":"JtFYjxcQ/RywuyX2N","type":"article-journal","abstract":"Abstract Hourly surface weather observations are combined with air traffic records to calculate projected utilization of operational warm fog dispersal systems at 15 Air Force bases in the United States and Europe, and at one civilian airport in California, Los Angeles International (LAX). It is projected that between 0.8 and 2.7% of the flights at the airports in the United States and between 4.8 and 7.1% of those at the European bases are adversely affected by warm fog in an average year. In most cases these percentages represent between 300 and 500 flights per year at the Air Force bases in the United States, approximately twice that amount of traffic at the bases in Europe, and approximately ten times that number of flights at LAX. A similar study sponsored by the FAA allowed comparable projections to be made for 40 additional civilian airports. Of the 21 civilian airports with the highest projected utilization of warm fog dispersal systems, it was found that the percentage of affected landings was generally less than one-half of the Air Force bases, but the total number of such landings was generally as high, and in many cases considerably higher.","container-title":"Journal of Applied Meteorology and Climatology","DOI":"10.1175/1520-0450(1974)013&lt;0788:PUOWFD&gt;2.0.CO;2","ISSN":"1520-0450","issue":"7","language":"EN","note":"publisher: American Meteorological Society\nsection: Journal of Applied Meteorology and Climatology","page":"788-795","source":"journals.ametsoc.org","title":"Projected Utilization of Warm Fog Dispersal Systems at Several Major Airports","volume":"13","author":[{"family":"Weinstein","given":"Alan I."}],"issued":{"date-parts":[["1974",10,1]]}}}],"schema":"https://github.com/citation-style-language/schema/raw/master/csl-citation.json"} </w:instrText>
      </w:r>
      <w:r w:rsidR="00326827" w:rsidRPr="008739B9">
        <w:fldChar w:fldCharType="separate"/>
      </w:r>
      <w:r w:rsidR="00326827" w:rsidRPr="008739B9">
        <w:t xml:space="preserve">Weinstein </w:t>
      </w:r>
      <w:r w:rsidR="009C61A1" w:rsidRPr="008739B9">
        <w:t>(</w:t>
      </w:r>
      <w:r w:rsidR="00326827" w:rsidRPr="008739B9">
        <w:t>1974)</w:t>
      </w:r>
      <w:r w:rsidR="00326827" w:rsidRPr="008739B9">
        <w:fldChar w:fldCharType="end"/>
      </w:r>
      <w:r w:rsidR="009C61A1" w:rsidRPr="008739B9">
        <w:t>,</w:t>
      </w:r>
      <w:r w:rsidR="00E3566D" w:rsidRPr="008739B9">
        <w:t xml:space="preserve"> in an average fog year between 0.</w:t>
      </w:r>
      <w:r w:rsidR="00BE0271" w:rsidRPr="008739B9">
        <w:t>8</w:t>
      </w:r>
      <w:r w:rsidR="00E3566D" w:rsidRPr="008739B9">
        <w:t xml:space="preserve"> to </w:t>
      </w:r>
      <w:r w:rsidR="00BE0271" w:rsidRPr="008739B9">
        <w:t>2.0</w:t>
      </w:r>
      <w:r w:rsidR="00EE3FC1" w:rsidRPr="008739B9">
        <w:t xml:space="preserve"> percent</w:t>
      </w:r>
      <w:r w:rsidR="00BE0271" w:rsidRPr="008739B9">
        <w:t xml:space="preserve"> of air traffic </w:t>
      </w:r>
      <w:r w:rsidR="00281E5B" w:rsidRPr="008739B9">
        <w:t xml:space="preserve">at </w:t>
      </w:r>
      <w:r w:rsidR="00B613F9" w:rsidRPr="008739B9">
        <w:t xml:space="preserve">United States </w:t>
      </w:r>
      <w:r w:rsidR="00281E5B" w:rsidRPr="008739B9">
        <w:t xml:space="preserve">airports </w:t>
      </w:r>
      <w:r w:rsidR="00755CAE" w:rsidRPr="008739B9">
        <w:t>are affected by warm fog, rising up to 40</w:t>
      </w:r>
      <w:r w:rsidR="00EE3FC1" w:rsidRPr="008739B9">
        <w:t xml:space="preserve"> percent</w:t>
      </w:r>
      <w:r w:rsidR="00755CAE" w:rsidRPr="008739B9">
        <w:t xml:space="preserve"> at airports </w:t>
      </w:r>
      <w:r w:rsidR="00971DA3" w:rsidRPr="008739B9">
        <w:t>during record years where fog is seasonal.</w:t>
      </w:r>
      <w:r w:rsidR="00757EB2" w:rsidRPr="008739B9">
        <w:t xml:space="preserve"> </w:t>
      </w:r>
      <w:r w:rsidR="003346C2" w:rsidRPr="008739B9">
        <w:t>W</w:t>
      </w:r>
      <w:r w:rsidR="0078383B" w:rsidRPr="008739B9">
        <w:t xml:space="preserve">arm fog </w:t>
      </w:r>
      <w:r w:rsidR="0015392D" w:rsidRPr="008739B9">
        <w:t xml:space="preserve">dispersal </w:t>
      </w:r>
      <w:r w:rsidR="004347AE" w:rsidRPr="008739B9">
        <w:t xml:space="preserve">can be achieved by implementing a </w:t>
      </w:r>
      <w:r w:rsidR="002657BC" w:rsidRPr="008739B9">
        <w:t>process of physical removal</w:t>
      </w:r>
      <w:r w:rsidR="004347AE" w:rsidRPr="008739B9">
        <w:t xml:space="preserve"> </w:t>
      </w:r>
      <w:r w:rsidR="006670DB" w:rsidRPr="008739B9">
        <w:t>(</w:t>
      </w:r>
      <w:r w:rsidR="002E4C1C" w:rsidRPr="008739B9">
        <w:t xml:space="preserve">of </w:t>
      </w:r>
      <w:r w:rsidR="00BF5C01" w:rsidRPr="008739B9">
        <w:t>water content</w:t>
      </w:r>
      <w:r w:rsidR="006670DB" w:rsidRPr="008739B9">
        <w:t>)</w:t>
      </w:r>
      <w:r w:rsidR="002E4C1C" w:rsidRPr="008739B9">
        <w:t xml:space="preserve"> </w:t>
      </w:r>
      <w:r w:rsidR="004347AE" w:rsidRPr="008739B9">
        <w:t>or</w:t>
      </w:r>
      <w:r w:rsidR="002E4C1C" w:rsidRPr="008739B9">
        <w:t xml:space="preserve"> </w:t>
      </w:r>
      <w:r w:rsidR="00BB5D50" w:rsidRPr="008739B9">
        <w:t xml:space="preserve">a process of </w:t>
      </w:r>
      <w:r w:rsidR="002E4C1C" w:rsidRPr="008739B9">
        <w:t>evaporation</w:t>
      </w:r>
      <w:r w:rsidR="00E004E9" w:rsidRPr="008739B9">
        <w:t xml:space="preserve"> </w:t>
      </w:r>
      <w:r w:rsidR="006670DB" w:rsidRPr="008739B9">
        <w:t>(</w:t>
      </w:r>
      <w:r w:rsidR="00E004E9" w:rsidRPr="008739B9">
        <w:t>of hydrometeors</w:t>
      </w:r>
      <w:r w:rsidR="006670DB" w:rsidRPr="008739B9">
        <w:t>)</w:t>
      </w:r>
      <w:r w:rsidR="00E004E9" w:rsidRPr="008739B9">
        <w:t>.</w:t>
      </w:r>
      <w:r w:rsidR="00E220BE" w:rsidRPr="008739B9">
        <w:t xml:space="preserve"> </w:t>
      </w:r>
      <w:r w:rsidR="00D1746B" w:rsidRPr="008739B9">
        <w:t>P</w:t>
      </w:r>
      <w:r w:rsidR="00E654D5" w:rsidRPr="008739B9">
        <w:t>hysical removal methods</w:t>
      </w:r>
      <w:r w:rsidR="00DA6332" w:rsidRPr="008739B9">
        <w:t xml:space="preserve"> </w:t>
      </w:r>
      <w:r w:rsidR="00A8134D" w:rsidRPr="008739B9">
        <w:t xml:space="preserve">do not </w:t>
      </w:r>
      <w:r w:rsidR="00985B4D" w:rsidRPr="008739B9">
        <w:t>have much</w:t>
      </w:r>
      <w:r w:rsidR="00A8134D" w:rsidRPr="008739B9">
        <w:t xml:space="preserve"> practicality outside of</w:t>
      </w:r>
      <w:r w:rsidR="00DA6332" w:rsidRPr="008739B9">
        <w:t xml:space="preserve"> </w:t>
      </w:r>
      <w:r w:rsidR="000C6E77" w:rsidRPr="008739B9">
        <w:t>ephemeral</w:t>
      </w:r>
      <w:r w:rsidR="00C22869" w:rsidRPr="008739B9">
        <w:t xml:space="preserve"> entrainment-limited dispersal </w:t>
      </w:r>
      <w:r w:rsidR="000C6E77" w:rsidRPr="008739B9">
        <w:t xml:space="preserve">(airmass removal) or </w:t>
      </w:r>
      <w:r w:rsidR="00A8134D" w:rsidRPr="008739B9">
        <w:t>theoretical applications</w:t>
      </w:r>
      <w:r w:rsidR="000C6E77" w:rsidRPr="008739B9">
        <w:t xml:space="preserve"> (sound waves)</w:t>
      </w:r>
      <w:r w:rsidR="006F213F" w:rsidRPr="008739B9">
        <w:t xml:space="preserve"> </w:t>
      </w:r>
      <w:r w:rsidR="00D84C9F" w:rsidRPr="008739B9">
        <w:fldChar w:fldCharType="begin"/>
      </w:r>
      <w:r w:rsidR="00EF1CD2" w:rsidRPr="008739B9">
        <w:instrText xml:space="preserve"> ADDIN ZOTERO_ITEM CSL_CITATION {"citationID":"QVU1VQ2u","properties":{"formattedCitation":"(Houghton and Radford 1936; Christensen and Frost 1980)","plainCitation":"(Houghton and Radford 1936; Christensen and Frost 1980)","dontUpdate":true,"noteIndex":0},"citationItems":[{"id":116,"uris":["http://zotero.org/users/local/LzhHb4Ct/items/24UZ3AFF"],"itemData":{"id":116,"type":"article-journal","container-title":"Physical Oceanogoraphy and Meteorology","issue":"3","title":"On the Local Dissipation of Natural Fog","volume":"6","author":[{"family":"Houghton","given":"H. G."},{"family":"Radford","given":"W. H."}],"issued":{"date-parts":[["1936",10]]}}},{"id":118,"uris":["http://zotero.org/users/local/LzhHb4Ct/items/AT2KF5UI"],"itemData":{"id":118,"type":"document","publisher":"National Aeronautics and Space Administration","title":"NASA Contractor Report 3255: Fog Dispersion","author":[{"family":"Christensen","given":"Larry S."},{"family":"Frost","given":"Walter"}],"issued":{"date-parts":[["1980",3]]}}}],"schema":"https://github.com/citation-style-language/schema/raw/master/csl-citation.json"} </w:instrText>
      </w:r>
      <w:r w:rsidR="00D84C9F" w:rsidRPr="008739B9">
        <w:fldChar w:fldCharType="separate"/>
      </w:r>
      <w:r w:rsidR="00D84C9F" w:rsidRPr="008739B9">
        <w:t>(Houghton and Radford 1936</w:t>
      </w:r>
      <w:r w:rsidR="00154194" w:rsidRPr="008739B9">
        <w:t>,</w:t>
      </w:r>
      <w:r w:rsidR="00D84C9F" w:rsidRPr="008739B9">
        <w:t xml:space="preserve"> Christensen and Frost 1980)</w:t>
      </w:r>
      <w:r w:rsidR="00D84C9F" w:rsidRPr="008739B9">
        <w:fldChar w:fldCharType="end"/>
      </w:r>
      <w:r w:rsidR="00A8134D" w:rsidRPr="008739B9">
        <w:t xml:space="preserve">. </w:t>
      </w:r>
      <w:r w:rsidR="00B96678" w:rsidRPr="008739B9">
        <w:t>On the other hand</w:t>
      </w:r>
      <w:r w:rsidR="00250ECC" w:rsidRPr="008739B9">
        <w:t xml:space="preserve">, </w:t>
      </w:r>
      <w:r w:rsidR="002924A3" w:rsidRPr="008739B9">
        <w:t xml:space="preserve">pioneering work by </w:t>
      </w:r>
      <w:r w:rsidR="002924A3" w:rsidRPr="008739B9">
        <w:fldChar w:fldCharType="begin"/>
      </w:r>
      <w:r w:rsidR="00EF1CD2" w:rsidRPr="008739B9">
        <w:instrText xml:space="preserve"> ADDIN ZOTERO_ITEM CSL_CITATION {"citationID":"juQvsYN2","properties":{"formattedCitation":"(Houghton and Radford 1936)","plainCitation":"(Houghton and Radford 1936)","dontUpdate":true,"noteIndex":0},"citationItems":[{"id":116,"uris":["http://zotero.org/users/local/LzhHb4Ct/items/24UZ3AFF"],"itemData":{"id":116,"type":"article-journal","container-title":"Physical Oceanogoraphy and Meteorology","issue":"3","title":"On the Local Dissipation of Natural Fog","volume":"6","author":[{"family":"Houghton","given":"H. G."},{"family":"Radford","given":"W. H."}],"issued":{"date-parts":[["1936",10]]}}}],"schema":"https://github.com/citation-style-language/schema/raw/master/csl-citation.json"} </w:instrText>
      </w:r>
      <w:r w:rsidR="002924A3" w:rsidRPr="008739B9">
        <w:fldChar w:fldCharType="separate"/>
      </w:r>
      <w:r w:rsidR="002924A3" w:rsidRPr="008739B9">
        <w:t xml:space="preserve">Houghton and Radford </w:t>
      </w:r>
      <w:r w:rsidR="00A633E8" w:rsidRPr="008739B9">
        <w:t>(</w:t>
      </w:r>
      <w:r w:rsidR="002924A3" w:rsidRPr="008739B9">
        <w:t>1936)</w:t>
      </w:r>
      <w:r w:rsidR="002924A3" w:rsidRPr="008739B9">
        <w:fldChar w:fldCharType="end"/>
      </w:r>
      <w:r w:rsidR="00A633E8" w:rsidRPr="008739B9">
        <w:t xml:space="preserve"> ha</w:t>
      </w:r>
      <w:r w:rsidR="00B84C8D" w:rsidRPr="008739B9">
        <w:t>s</w:t>
      </w:r>
      <w:r w:rsidR="00A633E8" w:rsidRPr="008739B9">
        <w:t xml:space="preserve"> shown that evaporative methods </w:t>
      </w:r>
      <w:r w:rsidR="00B84C8D" w:rsidRPr="008739B9">
        <w:t xml:space="preserve">via hygroscopic </w:t>
      </w:r>
      <w:r w:rsidR="00F9338C" w:rsidRPr="008739B9">
        <w:t>materials (</w:t>
      </w:r>
      <w:r w:rsidR="006A5183" w:rsidRPr="008739B9">
        <w:t>salts</w:t>
      </w:r>
      <w:r w:rsidR="00332779" w:rsidRPr="008739B9">
        <w:t>,</w:t>
      </w:r>
      <w:r w:rsidR="006A5183" w:rsidRPr="008739B9">
        <w:t xml:space="preserve"> </w:t>
      </w:r>
      <w:proofErr w:type="spellStart"/>
      <w:r w:rsidR="006A5183" w:rsidRPr="008739B9">
        <w:t>alkalines</w:t>
      </w:r>
      <w:proofErr w:type="spellEnd"/>
      <w:r w:rsidR="006A5183" w:rsidRPr="008739B9">
        <w:t>,</w:t>
      </w:r>
      <w:r w:rsidR="007D3DC9" w:rsidRPr="008739B9">
        <w:t xml:space="preserve"> </w:t>
      </w:r>
      <w:r w:rsidR="005C3155" w:rsidRPr="008739B9">
        <w:t>urea</w:t>
      </w:r>
      <w:r w:rsidR="00CC2AF0" w:rsidRPr="008739B9">
        <w:t xml:space="preserve">) </w:t>
      </w:r>
      <w:r w:rsidR="004441DD" w:rsidRPr="008739B9">
        <w:t>can be successful</w:t>
      </w:r>
      <w:r w:rsidR="00F12031" w:rsidRPr="008739B9">
        <w:t xml:space="preserve"> </w:t>
      </w:r>
      <w:r w:rsidR="00E91028" w:rsidRPr="008739B9">
        <w:t>in mitigating visibility losses</w:t>
      </w:r>
      <w:r w:rsidR="00226891" w:rsidRPr="008739B9">
        <w:t xml:space="preserve"> and is </w:t>
      </w:r>
      <w:r w:rsidR="005B5E72" w:rsidRPr="008739B9">
        <w:t xml:space="preserve">widely used in </w:t>
      </w:r>
      <w:r w:rsidR="00086131" w:rsidRPr="008739B9">
        <w:t xml:space="preserve">operational </w:t>
      </w:r>
      <w:r w:rsidR="005B5E72" w:rsidRPr="008739B9">
        <w:t>warm fog dispersal efforts</w:t>
      </w:r>
      <w:r w:rsidR="00F20544" w:rsidRPr="008739B9">
        <w:t xml:space="preserve"> </w:t>
      </w:r>
      <w:r w:rsidR="00F20544" w:rsidRPr="008739B9">
        <w:fldChar w:fldCharType="begin"/>
      </w:r>
      <w:r w:rsidR="006422AD">
        <w:instrText xml:space="preserve"> ADDIN ZOTERO_ITEM CSL_CITATION {"citationID":"BxeWpNAA","properties":{"formattedCitation":"(Weinstein and Silverman 1973; Park et al. 2023)","plainCitation":"(Weinstein and Silverman 1973; Park et al. 2023)","dontUpdate":true,"noteIndex":0},"citationItems":[{"id":"2zGPmLrU/KXOyytXc","uris":["http://zotero.org/users/10372145/items/S6W4L8II"],"itemData":{"id":"JtFYjxcQ/jgQdQE7O","type":"article-journal","abstract":"Abstract A two-dimensional Eulerian model of warm fog dispersal by airborne hygroscope particle seeding is used to evaluate some practical aspects of urea seeding at airports. It is found that although turbulence and wind shear reduce the effectiveness of single-line seeding to a point where it is of no practical value, seeding over a wide area (1−10 mi2) can result in practically useful visibility improvements in the approach zone and over the runway of airports. The quantity of material and the cost of the wide-area seeding technique depend upon fog intensity, fog type, and cross-runway wind speed. For typical fog, approximately 80,000 lb hr−1 of urea costing $40,000 per hour are needed to keep the visibility above ½ mi. The figures are reduced to approximately 36,000–58,000 lb and $18,000–29,000 per hour, respectively, if the visibility needs only to be raised to ¼ mi.","container-title":"Journal of Applied Meteorology and Climatology","DOI":"10.1175/1520-0450(1973)012&lt;0771:ANAOSP&gt;2.0.CO;2","ISSN":"1520-0450","issue":"5","language":"EN","note":"publisher: American Meteorological Society\nsection: Journal of Applied Meteorology and Climatology","page":"771-780","source":"journals.ametsoc.org","title":"A Numerical Analysis of Some Practical Aspects of Airborne Urea Seeding for Warm Fog Dispersal at Airports","volume":"12","author":[{"family":"Weinstein","given":"Alan I."},{"family":"Silverman","given":"Bernard A."}],"issued":{"date-parts":[["1973",8,1]]}}},{"id":119,"uris":["http://zotero.org/users/local/LzhHb4Ct/items/SBFJ8TXI"],"itemData":{"id":119,"type":"article-journal","abstract":"Fog interferes with traffic flow and causes major accidents. In foggy conditions, traffic accident death rates are higher than in other weather conditions. Research on fog dissipation technology is needed to reduce the incidence of accidents caused by fog. There are various artificial methods to remove fog. In this study, two methods of natural dissipation by gravity sedimentation and a solid carbon dioxide seeding fog dissipation mechanism were compared and analyzed in cold fog conditions. Solid carbon dioxide was selected as the fog dissipation particle. In this experiment, solid carbon dioxide seeding with three different values of weight (500 g, 1000 g, and 1500 g) was considered. This is because fog particles can be supercooled and fog can be removed. A light detection and ranging (LiDAR) sensor were used to quantitatively check the effect of improving visibility when solid carbon dioxide was seeded in the fog. The LiDAR sensor detects the surrounding environment through distance measurements by emitting lasers and processing the laser responses. A camera was used to visually observe the phenomenon occurring inside the calorimetric chamber. As a result, the fog dissipation mechanism using solid carbon dioxide seeding under cold fog conditions was proven to be effective in improving the visible distance compared with natural dissipation.","container-title":"Fluids","DOI":"10.3390/fluids8060185","ISSN":"2311-5521","issue":"6","language":"en","license":"http://creativecommons.org/licenses/by/3.0/","note":"number: 6\npublisher: Multidisciplinary Digital Publishing Institute","page":"185","source":"www.mdpi.com","title":"A Study on the Effectiveness of SCD Seeding Fog Dissipation Mechanism Using LiDAR Sensor","volume":"8","author":[{"family":"Park","given":"Min-Gyun"},{"family":"Kang","given":"Hyun-Su"},{"family":"Kim","given":"Youn-Jea"}],"issued":{"date-parts":[["2023",6]]}}}],"schema":"https://github.com/citation-style-language/schema/raw/master/csl-citation.json"} </w:instrText>
      </w:r>
      <w:r w:rsidR="00F20544" w:rsidRPr="008739B9">
        <w:fldChar w:fldCharType="separate"/>
      </w:r>
      <w:r w:rsidR="00F20544" w:rsidRPr="008739B9">
        <w:t>(Weinstein and Silverman 1973</w:t>
      </w:r>
      <w:r w:rsidR="00667E8A" w:rsidRPr="008739B9">
        <w:t>,</w:t>
      </w:r>
      <w:r w:rsidR="00F20544" w:rsidRPr="008739B9">
        <w:t xml:space="preserve"> Park et al. 2023)</w:t>
      </w:r>
      <w:r w:rsidR="00F20544" w:rsidRPr="008739B9">
        <w:fldChar w:fldCharType="end"/>
      </w:r>
      <w:r w:rsidR="00667E8A" w:rsidRPr="008739B9">
        <w:t>.</w:t>
      </w:r>
    </w:p>
    <w:p w14:paraId="6AE87A3A" w14:textId="6AFD8AF7" w:rsidR="007C5A7C" w:rsidRPr="008739B9" w:rsidRDefault="001342BC" w:rsidP="008739B9">
      <w:pPr>
        <w:pStyle w:val="TextFormat"/>
      </w:pPr>
      <w:r w:rsidRPr="008739B9">
        <w:t xml:space="preserve">Supercooled fog </w:t>
      </w:r>
      <w:r w:rsidR="00600872" w:rsidRPr="008739B9">
        <w:t>is comprised of suspended liquid hydro</w:t>
      </w:r>
      <w:r w:rsidR="00A46D4D" w:rsidRPr="008739B9">
        <w:t>meteors at temperatures below freezing</w:t>
      </w:r>
      <w:r w:rsidR="00EE3FC1" w:rsidRPr="008739B9">
        <w:t xml:space="preserve"> and above</w:t>
      </w:r>
      <w:r w:rsidR="00965EB5" w:rsidRPr="008739B9">
        <w:t xml:space="preserve"> </w:t>
      </w:r>
      <w:r w:rsidR="006C1D74" w:rsidRPr="008739B9">
        <w:t>-40 °C</w:t>
      </w:r>
      <w:r w:rsidR="00EE3FC1" w:rsidRPr="008739B9">
        <w:t xml:space="preserve"> </w:t>
      </w:r>
      <w:r w:rsidR="00106DE7" w:rsidRPr="008739B9">
        <w:t xml:space="preserve">and is prominent within the </w:t>
      </w:r>
      <w:r w:rsidR="00EE3FC1" w:rsidRPr="008739B9">
        <w:t>Red River Valley</w:t>
      </w:r>
      <w:r w:rsidR="009D2B18" w:rsidRPr="008739B9">
        <w:t xml:space="preserve">. </w:t>
      </w:r>
      <w:r w:rsidR="007F7E1C" w:rsidRPr="008739B9">
        <w:t>While simultaneously the rarest</w:t>
      </w:r>
      <w:r w:rsidR="00EE3FC1" w:rsidRPr="008739B9">
        <w:t>,</w:t>
      </w:r>
      <w:r w:rsidR="007F7E1C" w:rsidRPr="008739B9">
        <w:t xml:space="preserve"> and most dangerous type of fog</w:t>
      </w:r>
      <w:r w:rsidR="009E7EB9" w:rsidRPr="008739B9">
        <w:t xml:space="preserve">, </w:t>
      </w:r>
      <w:r w:rsidR="00BE6B1F" w:rsidRPr="008739B9">
        <w:t xml:space="preserve">supercooled fog abatement is the </w:t>
      </w:r>
      <w:r w:rsidR="00EE3FC1" w:rsidRPr="008739B9">
        <w:t>easiest to remove</w:t>
      </w:r>
      <w:r w:rsidR="00BE6B1F" w:rsidRPr="008739B9">
        <w:t xml:space="preserve"> </w:t>
      </w:r>
      <w:r w:rsidR="00BE6B1F" w:rsidRPr="008739B9">
        <w:lastRenderedPageBreak/>
        <w:t>operationally</w:t>
      </w:r>
      <w:r w:rsidR="00F6125D" w:rsidRPr="008739B9">
        <w:t xml:space="preserve"> due to its metastable nature</w:t>
      </w:r>
      <w:r w:rsidR="00BE6B1F" w:rsidRPr="008739B9">
        <w:t xml:space="preserve">. </w:t>
      </w:r>
      <w:r w:rsidR="00EB029F" w:rsidRPr="008739B9">
        <w:t>Widely regarded as the inception of anthropogenic weather modification, t</w:t>
      </w:r>
      <w:r w:rsidR="00BE6B1F" w:rsidRPr="008739B9">
        <w:t xml:space="preserve">he serendipitous discovery of dry ice inducing high concentrations of ice embryos by </w:t>
      </w:r>
      <w:r w:rsidR="0010236F" w:rsidRPr="008739B9">
        <w:fldChar w:fldCharType="begin"/>
      </w:r>
      <w:r w:rsidR="006422AD">
        <w:instrText xml:space="preserve"> ADDIN ZOTERO_ITEM CSL_CITATION {"citationID":"n7rIncQX","properties":{"formattedCitation":"(Schaefer 1946)","plainCitation":"(Schaefer 1946)","dontUpdate":true,"noteIndex":0},"citationItems":[{"id":"2zGPmLrU/P7dUGTRd","uris":["http://zotero.org/users/10372145/items/LTE999D4"],"itemData":{"id":"JtFYjxcQ/PGXeljTW","type":"article-journal","abstract":"300 Multiple ChoicesThis is a pdf-only article and there is no markup to show you.full-text.pdf","container-title":"Science","DOI":"10.1126/science.104.2707.457","issue":"2707","journalAbbreviation":"Science","page":"457","title":"The Production of Ice Crystals in a Cloud of Supercooled Water Droplets","volume":"104","author":[{"family":"Schaefer","given":"Vincent J."}],"issued":{"date-parts":[["1946",11,15]]}}}],"schema":"https://github.com/citation-style-language/schema/raw/master/csl-citation.json"} </w:instrText>
      </w:r>
      <w:r w:rsidR="0010236F" w:rsidRPr="008739B9">
        <w:fldChar w:fldCharType="separate"/>
      </w:r>
      <w:r w:rsidR="0010236F" w:rsidRPr="008739B9">
        <w:t xml:space="preserve">Schaefer </w:t>
      </w:r>
      <w:r w:rsidR="00386631" w:rsidRPr="008739B9">
        <w:t>(</w:t>
      </w:r>
      <w:r w:rsidR="0010236F" w:rsidRPr="008739B9">
        <w:t>1946)</w:t>
      </w:r>
      <w:r w:rsidR="0010236F" w:rsidRPr="008739B9">
        <w:fldChar w:fldCharType="end"/>
      </w:r>
      <w:r w:rsidR="00386631" w:rsidRPr="008739B9">
        <w:t xml:space="preserve"> </w:t>
      </w:r>
      <w:r w:rsidR="00957924" w:rsidRPr="008739B9">
        <w:t xml:space="preserve">occurred </w:t>
      </w:r>
      <w:r w:rsidR="00BE6B1F" w:rsidRPr="008739B9">
        <w:t xml:space="preserve">as part of </w:t>
      </w:r>
      <w:r w:rsidR="00951C85" w:rsidRPr="008739B9">
        <w:t xml:space="preserve">collective </w:t>
      </w:r>
      <w:r w:rsidR="00BE6B1F" w:rsidRPr="008739B9">
        <w:t>efforts to ascertain a material to nucleate supercooled clouds.</w:t>
      </w:r>
      <w:r w:rsidR="00641CF5" w:rsidRPr="008739B9">
        <w:t xml:space="preserve"> </w:t>
      </w:r>
      <w:r w:rsidR="00AE2EC7">
        <w:t>A</w:t>
      </w:r>
      <w:r w:rsidR="008616D4" w:rsidRPr="008739B9">
        <w:t xml:space="preserve"> test</w:t>
      </w:r>
      <w:r w:rsidR="00AE2EC7">
        <w:t xml:space="preserve"> of</w:t>
      </w:r>
      <w:r w:rsidR="008616D4" w:rsidRPr="008739B9">
        <w:t xml:space="preserve"> this dry</w:t>
      </w:r>
      <w:r w:rsidR="00C8585D" w:rsidRPr="008739B9">
        <w:t xml:space="preserve"> </w:t>
      </w:r>
      <w:r w:rsidR="008616D4" w:rsidRPr="008739B9">
        <w:t xml:space="preserve">ice effect on supercooled ground fog </w:t>
      </w:r>
      <w:r w:rsidR="00AE2EC7">
        <w:t>instigated</w:t>
      </w:r>
      <w:r w:rsidR="000B5D02" w:rsidRPr="008739B9">
        <w:t xml:space="preserve"> a conversion to snow crystals</w:t>
      </w:r>
      <w:r w:rsidR="0081300E" w:rsidRPr="008739B9">
        <w:t xml:space="preserve"> </w:t>
      </w:r>
      <w:r w:rsidR="0081300E" w:rsidRPr="008739B9">
        <w:fldChar w:fldCharType="begin"/>
      </w:r>
      <w:r w:rsidR="006422AD">
        <w:instrText xml:space="preserve"> ADDIN ZOTERO_ITEM CSL_CITATION {"citationID":"01XKx32I","properties":{"formattedCitation":"(Schaefer 1968)","plainCitation":"(Schaefer 1968)","noteIndex":0},"citationItems":[{"id":"2zGPmLrU/tQV8XQAj","uris":["http://zotero.org/users/10372145/items/TSQTJJ9Z"],"itemData":{"id":"uFLkkYQ4/ZLtgA3VO","type":"article-journal","abstract":"Since ancient times man has dreamed of manipulating the weather to his advantage. His efforts to this end have ranged from drawing pictographs, lighting ceremonial fires, participating in rain dances and then during the past twenty-one years in directing his attention toward utilizing certain scientific relationships to initiate physical and chemical reactions in the atmosphere. There are certain of these reactions which can be demonstrated in both the laboratory and the field. They are spectacular to see, are fairly well understood from the scientific viewpoint and can be used to produce definite and predictable reactions. There no longer is any question that it is quite feasible to modify supercooled clouds wherever they occur. There is still much uncertainty as to subsequent developments which may occur due to such actions especially in unstable cloud systems. Unlike supercooled fogs and stratus clouds where the seeding results may be photographed and quantitatively measured, these less stable systems involving convection, convergence and divergence of moist and dry air are difficult systems to evaluate. This paper reviews briefly certain aspects of weather control prior to 1946 and then attempts to provide an accurate historical chronology of the significant advances which occurred during the early period of this new phase of atmospheric science. The control of the weather within our global atmosphere has been a dream of man for many centuries. In its earliest phases this ambition was limited to the rain needed for a tiny patch of corn or some similar local and immediate need. As man's knowledge of the atmosphere increased and his needs became more urgent and widespread, his approach to such problems were increasingly directed toward a scientific consideration of the possibilities as well as limitations of changing atmospheric processes. Prior to 1946, all of the proposals advanced toward doing something about modifying atmospheric processes failed to consider the massive nature of the atmosphere and the need to depend on triggering mechanisms to utilize the latent energy which develops from some of the physical reactions and interactions which occur in clear and cloudy skies.","container-title":"Bulletin of the American Meteorological Society","ISSN":"0003-0007","issue":"4","note":"publisher: American Meteorological Society","page":"337-342","source":"JSTOR","title":"the early history of weather modification","volume":"49","author":[{"family":"Schaefer","given":"Vincent J."}],"issued":{"date-parts":[["1968"]]}}}],"schema":"https://github.com/citation-style-language/schema/raw/master/csl-citation.json"} </w:instrText>
      </w:r>
      <w:r w:rsidR="0081300E" w:rsidRPr="008739B9">
        <w:fldChar w:fldCharType="separate"/>
      </w:r>
      <w:r w:rsidR="0081300E" w:rsidRPr="008739B9">
        <w:t>(Schaefer 1968)</w:t>
      </w:r>
      <w:r w:rsidR="0081300E" w:rsidRPr="008739B9">
        <w:fldChar w:fldCharType="end"/>
      </w:r>
      <w:r w:rsidR="000B5D02" w:rsidRPr="008739B9">
        <w:t xml:space="preserve">. </w:t>
      </w:r>
      <w:r w:rsidR="00BD29EC" w:rsidRPr="008739B9">
        <w:t>Shortly thereafter,</w:t>
      </w:r>
      <w:r w:rsidR="00944268" w:rsidRPr="008739B9">
        <w:t xml:space="preserve"> </w:t>
      </w:r>
      <w:r w:rsidR="00944268" w:rsidRPr="008739B9">
        <w:fldChar w:fldCharType="begin"/>
      </w:r>
      <w:r w:rsidR="006422AD">
        <w:instrText xml:space="preserve"> ADDIN ZOTERO_ITEM CSL_CITATION {"citationID":"UXaI2sbT","properties":{"formattedCitation":"(Vonnegut 1947)","plainCitation":"(Vonnegut 1947)","dontUpdate":true,"noteIndex":0},"citationItems":[{"id":"2zGPmLrU/LZvKaa1a","uris":["http://zotero.org/users/10372145/items/KTCMFYQY"],"itemData":{"id":"uFLkkYQ4/o69oUcYj","type":"article-journal","container-title":"Journal of Applied Physics","DOI":"10.1063/1.1697813","ISSN":"0021-8979, 1089-7550","issue":"7","journalAbbreviation":"Journal of Applied Physics","language":"en","page":"593-595","source":"DOI.org (Crossref)","title":"The Nucleation of Ice Formation by Silver Iodide","volume":"18","author":[{"family":"Vonnegut","given":"B."}],"issued":{"date-parts":[["1947",7]]}}}],"schema":"https://github.com/citation-style-language/schema/raw/master/csl-citation.json"} </w:instrText>
      </w:r>
      <w:r w:rsidR="00944268" w:rsidRPr="008739B9">
        <w:fldChar w:fldCharType="separate"/>
      </w:r>
      <w:r w:rsidR="00944268" w:rsidRPr="008739B9">
        <w:t>Vonnegut (1947)</w:t>
      </w:r>
      <w:r w:rsidR="00944268" w:rsidRPr="008739B9">
        <w:fldChar w:fldCharType="end"/>
      </w:r>
      <w:r w:rsidR="00944268" w:rsidRPr="008739B9">
        <w:t xml:space="preserve"> deduced that silver iodide (</w:t>
      </w:r>
      <w:proofErr w:type="spellStart"/>
      <w:r w:rsidR="00944268" w:rsidRPr="008739B9">
        <w:t>AgI</w:t>
      </w:r>
      <w:proofErr w:type="spellEnd"/>
      <w:r w:rsidR="00944268" w:rsidRPr="008739B9">
        <w:t xml:space="preserve">) acted as an effective supercooled cloud </w:t>
      </w:r>
      <w:proofErr w:type="spellStart"/>
      <w:r w:rsidR="00944268" w:rsidRPr="008739B9">
        <w:t>nucleant</w:t>
      </w:r>
      <w:proofErr w:type="spellEnd"/>
      <w:r w:rsidR="006F017E" w:rsidRPr="008739B9">
        <w:t xml:space="preserve"> </w:t>
      </w:r>
      <w:r w:rsidR="00F4314A">
        <w:t>due to the close</w:t>
      </w:r>
      <w:r w:rsidR="00096D20" w:rsidRPr="008739B9">
        <w:t xml:space="preserve"> </w:t>
      </w:r>
      <w:r w:rsidR="00EE3FC1" w:rsidRPr="008739B9">
        <w:t>resembl</w:t>
      </w:r>
      <w:r w:rsidR="00F4314A">
        <w:t>ance</w:t>
      </w:r>
      <w:r w:rsidR="00096D20" w:rsidRPr="008739B9">
        <w:t xml:space="preserve"> </w:t>
      </w:r>
      <w:r w:rsidR="00F4314A">
        <w:t xml:space="preserve">to </w:t>
      </w:r>
      <w:r w:rsidR="00096D20" w:rsidRPr="008739B9">
        <w:t xml:space="preserve">ice crystalline </w:t>
      </w:r>
      <w:r w:rsidR="00D35FCA" w:rsidRPr="008739B9">
        <w:t xml:space="preserve">structure. </w:t>
      </w:r>
      <w:r w:rsidR="003B2049" w:rsidRPr="008739B9">
        <w:t>Based on these early discoveries</w:t>
      </w:r>
      <w:r w:rsidR="00690587" w:rsidRPr="008739B9">
        <w:t xml:space="preserve">, </w:t>
      </w:r>
      <w:r w:rsidR="003B2049" w:rsidRPr="008739B9">
        <w:t>t</w:t>
      </w:r>
      <w:r w:rsidR="007C5A7C" w:rsidRPr="008739B9">
        <w:t xml:space="preserve">he first organized supercooled fog abatement project </w:t>
      </w:r>
      <w:r w:rsidR="008122FC" w:rsidRPr="008739B9">
        <w:t xml:space="preserve">using conventional aircraft </w:t>
      </w:r>
      <w:r w:rsidR="007C5A7C" w:rsidRPr="008739B9">
        <w:t xml:space="preserve">occurred in 1965 as part of a collective effort of airline corporations to implement clearing </w:t>
      </w:r>
      <w:r w:rsidR="008122FC" w:rsidRPr="008739B9">
        <w:t xml:space="preserve">of </w:t>
      </w:r>
      <w:r w:rsidR="007C5A7C" w:rsidRPr="008739B9">
        <w:t>airport runways</w:t>
      </w:r>
      <w:r w:rsidR="00571DAE" w:rsidRPr="008739B9">
        <w:t xml:space="preserve"> and demonstrated an 80</w:t>
      </w:r>
      <w:r w:rsidR="004977DF" w:rsidRPr="008739B9">
        <w:t xml:space="preserve"> percent </w:t>
      </w:r>
      <w:r w:rsidR="00571DAE" w:rsidRPr="008739B9">
        <w:t>success rate of visibility reductions</w:t>
      </w:r>
      <w:r w:rsidR="00FD5A83" w:rsidRPr="008739B9">
        <w:t xml:space="preserve"> </w:t>
      </w:r>
      <w:r w:rsidR="007C5A7C" w:rsidRPr="008739B9">
        <w:fldChar w:fldCharType="begin"/>
      </w:r>
      <w:r w:rsidR="007C5A7C" w:rsidRPr="008739B9">
        <w:instrText xml:space="preserve"> ADDIN ZOTERO_ITEM CSL_CITATION {"citationID":"AbQediu8","properties":{"formattedCitation":"(Beckwith 1965)","plainCitation":"(Beckwith 1965)","noteIndex":0},"citationItems":[{"id":44,"uris":["http://zotero.org/users/local/LzhHb4Ct/items/5E2V8ZUI"],"itemData":{"id":44,"type":"article-journal","abstract":"The capability of dissipating supercooled fogs by aircraft seeding has been recognized since Schaefer experimented in 1946. Except for some localized application of this weather control and some side effects of research aimed at precipitation increase, no organized program of airport weather improvement was established in the United States until 1963. Seeding of supercooled fogs by dry ice was organized during two winters for the purpose of increasing airline schedule reliability at airports subjected to this cold fog. Better than 80% success was attained by this method, resulting in the operation of approximately 200 scheduled flights which would otherwise have been canceled. Typical examples of visibility improvement after less than an hour of seeding are illustrated. The direct benefits resulting from these programs outweigh the costs significantly and suggest that similar fog dispersal operations should be expanded to other areas of the United States which are subjected to supercooled fogs.","container-title":"Bulletin of the American Meteorological Society","DOI":"10.1175/1520-0477-46.6.323","ISSN":"0003-0007, 1520-0477","issue":"6","language":"en","note":"ISBN: 9781520047744\npublisher: American Meteorological Society\nsection: Bulletin of the American Meteorological Society","page":"323-327","source":"journals.ametsoc.org","title":"supercooled fog dispersal for airport operations","volume":"46","author":[{"family":"Beckwith","given":"W. Boynton"}],"issued":{"date-parts":[["1965",6,1]]}}}],"schema":"https://github.com/citation-style-language/schema/raw/master/csl-citation.json"} </w:instrText>
      </w:r>
      <w:r w:rsidR="007C5A7C" w:rsidRPr="008739B9">
        <w:fldChar w:fldCharType="separate"/>
      </w:r>
      <w:r w:rsidR="007C5A7C" w:rsidRPr="008739B9">
        <w:t>(Beckwith 1965)</w:t>
      </w:r>
      <w:r w:rsidR="007C5A7C" w:rsidRPr="008739B9">
        <w:fldChar w:fldCharType="end"/>
      </w:r>
      <w:r w:rsidR="007C5A7C" w:rsidRPr="008739B9">
        <w:t xml:space="preserve">. </w:t>
      </w:r>
      <w:r w:rsidR="00CA6103" w:rsidRPr="008739B9">
        <w:t xml:space="preserve">Also notable, </w:t>
      </w:r>
      <w:r w:rsidR="007C5A7C" w:rsidRPr="008739B9">
        <w:fldChar w:fldCharType="begin"/>
      </w:r>
      <w:r w:rsidR="00CD4CCA" w:rsidRPr="008739B9">
        <w:instrText xml:space="preserve"> ADDIN ZOTERO_ITEM CSL_CITATION {"citationID":"Fqqo9fdU","properties":{"formattedCitation":"(Vardiman et al. 1971)","plainCitation":"(Vardiman et al. 1971)","dontUpdate":true,"noteIndex":0},"citationItems":[{"id":54,"uris":["http://zotero.org/users/local/LzhHb4Ct/items/UF2MIVI4"],"itemData":{"id":54,"type":"article-journal","abstract":"Abstract This paper describes the equipment, the theory, and the results of an operational fog-dissipation system installed at Fairchild AFB, Washington, during the winter of 1969–70. An array of stationary ground dispensers was employed to determine the effectiveness of such a system for providing operational support to aircraft landings and take-offs. Usable clearings followed 25 of 29 seeding operations conducted to bring field conditions above minima. In 17 cases the clearings were conclusively the result of fog seeding. Natural clearing appeared to be at least partially responsible in the eight other cases. Seeding failed to produce usable results in four cases in which the temperature was 31F or higher. In an additional five cases preventive seeding was carried out when initial conditions were above minima. In these cases no attempt was made to evaluate the results due to the uncertainty in knowing the conditions which would have occurred without seeding. A total of 68 aircraft departures and 35 landings were made possible during the project.","container-title":"Journal of Applied Meteorology and Climatology","DOI":"10.1175/1520-0450(1971)010&lt;0515:ODOSFU&gt;2.0.CO;2","ISSN":"1520-0450","issue":"3","language":"EN","note":"publisher: American Meteorological Society\nsection: Journal of Applied Meteorology and Climatology","page":"515-525","source":"journals.ametsoc.org","title":"Operational Dissipation of Supercooled Fog Using Liquid Propane","volume":"10","author":[{"family":"Vardiman","given":"Larry"},{"family":"Figgins","given":"Everett D."},{"family":"Appleman","given":"Herbert S."}],"issued":{"date-parts":[["1971",6,1]]}}}],"schema":"https://github.com/citation-style-language/schema/raw/master/csl-citation.json"} </w:instrText>
      </w:r>
      <w:r w:rsidR="007C5A7C" w:rsidRPr="008739B9">
        <w:fldChar w:fldCharType="separate"/>
      </w:r>
      <w:r w:rsidR="007C5A7C" w:rsidRPr="008739B9">
        <w:t>Vardiman et al. (1971)</w:t>
      </w:r>
      <w:r w:rsidR="007C5A7C" w:rsidRPr="008739B9">
        <w:fldChar w:fldCharType="end"/>
      </w:r>
      <w:r w:rsidR="007C5A7C" w:rsidRPr="008739B9">
        <w:t xml:space="preserve"> </w:t>
      </w:r>
      <w:r w:rsidR="003B2049" w:rsidRPr="008739B9">
        <w:t>utilized</w:t>
      </w:r>
      <w:r w:rsidR="007C5A7C" w:rsidRPr="008739B9">
        <w:t xml:space="preserve"> ground-based generators</w:t>
      </w:r>
      <w:r w:rsidR="00690587" w:rsidRPr="008739B9">
        <w:t xml:space="preserve"> and </w:t>
      </w:r>
      <w:r w:rsidR="007C5A7C" w:rsidRPr="008739B9">
        <w:t>observ</w:t>
      </w:r>
      <w:r w:rsidR="00690587" w:rsidRPr="008739B9">
        <w:t xml:space="preserve">ed </w:t>
      </w:r>
      <w:r w:rsidR="007C5A7C" w:rsidRPr="008739B9">
        <w:t>runway visibility improvements in 25 of 29 seeding operations.</w:t>
      </w:r>
    </w:p>
    <w:p w14:paraId="1BCAD450" w14:textId="6D50FF53" w:rsidR="00B34BF3" w:rsidRPr="008739B9" w:rsidRDefault="0021277B" w:rsidP="008739B9">
      <w:pPr>
        <w:pStyle w:val="TextFormat"/>
      </w:pPr>
      <w:r w:rsidRPr="008739B9">
        <w:t>S</w:t>
      </w:r>
      <w:r w:rsidR="00CE0875" w:rsidRPr="008739B9">
        <w:t xml:space="preserve">upercooled fog modification </w:t>
      </w:r>
      <w:r w:rsidR="006305CE" w:rsidRPr="008739B9">
        <w:t xml:space="preserve">theory </w:t>
      </w:r>
      <w:r w:rsidR="00CE0875" w:rsidRPr="008739B9">
        <w:t xml:space="preserve">focuses on </w:t>
      </w:r>
      <w:r w:rsidR="00500D53" w:rsidRPr="008739B9">
        <w:t>the injection of seeding material into a metastable syste</w:t>
      </w:r>
      <w:r w:rsidR="00A5386D" w:rsidRPr="008739B9">
        <w:t xml:space="preserve">m, </w:t>
      </w:r>
      <w:r w:rsidR="004977DF" w:rsidRPr="008739B9">
        <w:t>resulting in ice crystal fallout and subsequent</w:t>
      </w:r>
      <w:r w:rsidR="00B14586" w:rsidRPr="008739B9">
        <w:t xml:space="preserve"> surface </w:t>
      </w:r>
      <w:r w:rsidR="00454476" w:rsidRPr="008739B9">
        <w:t>visibility improvements</w:t>
      </w:r>
      <w:r w:rsidR="00500D53" w:rsidRPr="008739B9">
        <w:t>.</w:t>
      </w:r>
      <w:r w:rsidR="00B759CB" w:rsidRPr="008739B9">
        <w:t xml:space="preserve"> </w:t>
      </w:r>
      <w:r w:rsidR="00086131" w:rsidRPr="008739B9">
        <w:t>Within supercooled clouds, t</w:t>
      </w:r>
      <w:r w:rsidR="00B759CB" w:rsidRPr="008739B9">
        <w:t xml:space="preserve">he </w:t>
      </w:r>
      <w:r w:rsidR="00522439" w:rsidRPr="008739B9">
        <w:t>ambient vapor pressure falls between the</w:t>
      </w:r>
      <w:r w:rsidR="00FC40A2" w:rsidRPr="008739B9">
        <w:t xml:space="preserve"> higher</w:t>
      </w:r>
      <w:r w:rsidR="00522439" w:rsidRPr="008739B9">
        <w:t xml:space="preserve"> saturation vapor pressure </w:t>
      </w:r>
      <w:r w:rsidR="00FC40A2" w:rsidRPr="008739B9">
        <w:t xml:space="preserve">with respect to water and the lower </w:t>
      </w:r>
      <w:r w:rsidR="00953AF9" w:rsidRPr="008739B9">
        <w:t>saturation vapor pressure with respect to ice</w:t>
      </w:r>
      <w:r w:rsidR="00E70CD9" w:rsidRPr="008739B9">
        <w:t xml:space="preserve">. </w:t>
      </w:r>
      <w:r w:rsidR="00F4314A">
        <w:t>Consequentially</w:t>
      </w:r>
      <w:r w:rsidR="00E70CD9" w:rsidRPr="008739B9">
        <w:t>, the air is</w:t>
      </w:r>
      <w:r w:rsidR="00901D78" w:rsidRPr="008739B9">
        <w:t xml:space="preserve"> </w:t>
      </w:r>
      <w:r w:rsidR="00F27BCA" w:rsidRPr="008739B9">
        <w:t>sub</w:t>
      </w:r>
      <w:r w:rsidR="006F10DB" w:rsidRPr="008739B9">
        <w:t>-</w:t>
      </w:r>
      <w:r w:rsidR="00F27BCA" w:rsidRPr="008739B9">
        <w:t>saturat</w:t>
      </w:r>
      <w:r w:rsidR="004977DF" w:rsidRPr="008739B9">
        <w:t>ed</w:t>
      </w:r>
      <w:r w:rsidR="00F27BCA" w:rsidRPr="008739B9">
        <w:t xml:space="preserve"> </w:t>
      </w:r>
      <w:r w:rsidR="00E70CD9" w:rsidRPr="008739B9">
        <w:t xml:space="preserve">with respect </w:t>
      </w:r>
      <w:r w:rsidR="00F27BCA" w:rsidRPr="008739B9">
        <w:t>to water</w:t>
      </w:r>
      <w:r w:rsidR="00E70CD9" w:rsidRPr="008739B9">
        <w:t>,</w:t>
      </w:r>
      <w:r w:rsidR="00F27BCA" w:rsidRPr="008739B9">
        <w:t xml:space="preserve"> </w:t>
      </w:r>
      <w:r w:rsidR="00D65A91" w:rsidRPr="008739B9">
        <w:t xml:space="preserve">and </w:t>
      </w:r>
      <w:r w:rsidR="00F27BCA" w:rsidRPr="008739B9">
        <w:t>super</w:t>
      </w:r>
      <w:r w:rsidR="006F10DB" w:rsidRPr="008739B9">
        <w:t>-</w:t>
      </w:r>
      <w:r w:rsidR="00F27BCA" w:rsidRPr="008739B9">
        <w:t>saturat</w:t>
      </w:r>
      <w:r w:rsidR="004977DF" w:rsidRPr="008739B9">
        <w:t>ed</w:t>
      </w:r>
      <w:r w:rsidR="00F27BCA" w:rsidRPr="008739B9">
        <w:t xml:space="preserve"> </w:t>
      </w:r>
      <w:r w:rsidR="00E70CD9" w:rsidRPr="008739B9">
        <w:t xml:space="preserve">with respect </w:t>
      </w:r>
      <w:r w:rsidR="00F27BCA" w:rsidRPr="008739B9">
        <w:t>to ice</w:t>
      </w:r>
      <w:r w:rsidR="00EF1CD2" w:rsidRPr="008739B9">
        <w:t xml:space="preserve"> </w:t>
      </w:r>
      <w:r w:rsidR="00EF1CD2" w:rsidRPr="008739B9">
        <w:fldChar w:fldCharType="begin"/>
      </w:r>
      <w:r w:rsidR="007C286F" w:rsidRPr="008739B9">
        <w:instrText xml:space="preserve"> ADDIN ZOTERO_ITEM CSL_CITATION {"citationID":"UsHP11jN","properties":{"formattedCitation":"(Hoffmann 2020)","plainCitation":"(Hoffmann 2020)","dontUpdate":true,"noteIndex":0},"citationItems":[{"id":124,"uris":["http://zotero.org/users/local/LzhHb4Ct/items/LSY78R3X"],"itemData":{"id":124,"type":"article-journal","abstract":"Abstract The growth of ice crystals at the expense of water droplets, the Wegener–Bergeron–Findeisen (WBF) process, is of major importance for the production of precipitation in mixed-phase clouds. The effects of entrainment and mixing on WBF, however, are not well understood, and small-scale inhomogeneities in the thermodynamic and hydrometeor fields are typically neglected in current models. By applying the linear eddy model, a millimeter-resolution representation of turbulent deformation and molecular diffusion, we investigate these small-scale effects on WBF. While we show that entrainment is accelerating WBF by contributing to the evaporation of liquid droplets, entrainment may also cause aforementioned inhomogeneities, particularly regions filled with exclusively ice or liquid hydrometeors, which tend to decelerate WBF if the ice crystal concentration exceeds 100 L−1. At lower ice crystal concentrations, even weak turbulence can homogenize hydrometeor and thermodynamic fields sufficiently fast so as to not affect WBF. Independent of the ice crystal concentration, it is shown that a fully resolved entrainment and mixing process may delay the nucleation of entrained aerosols to ice crystals, thereby delaying the uptake of water vapor by the ice phase, further slowing down WBF. All in all, this study indicates that, under specific conditions, small-scale inhomogeneities associated with entrainment and mixing counteract the accelerated WBF in entraining clouds. However, further research is required to assess the importance of the newly discovered processes more broadly in fully coupled, evolving mixed-phase cloud systems.","container-title":"Journal of the Atmospheric Sciences","DOI":"10.1175/JAS-D-19-0289.1","ISSN":"0022-4928, 1520-0469","issue":"6","language":"EN","note":"publisher: American Meteorological Society\nsection: Journal of the Atmospheric Sciences","page":"2279-2296","source":"journals.ametsoc.org","title":"Effects of Entrainment and Mixing on the Wegener–Bergeron–Findeisen Process","volume":"77","author":[{"family":"Hoffmann","given":"Fabian"}],"issued":{"date-parts":[["2020",6,9]]}}}],"schema":"https://github.com/citation-style-language/schema/raw/master/csl-citation.json"} </w:instrText>
      </w:r>
      <w:r w:rsidR="00EF1CD2" w:rsidRPr="008739B9">
        <w:fldChar w:fldCharType="separate"/>
      </w:r>
      <w:r w:rsidR="00EF1CD2" w:rsidRPr="008739B9">
        <w:t>(</w:t>
      </w:r>
      <w:r w:rsidR="00D151F9" w:rsidRPr="008739B9">
        <w:fldChar w:fldCharType="begin"/>
      </w:r>
      <w:r w:rsidR="007C286F" w:rsidRPr="008739B9">
        <w:instrText xml:space="preserve"> ADDIN ZOTERO_ITEM CSL_CITATION {"citationID":"TRpoMIIr","properties":{"formattedCitation":"(Vardiman et al. 1971; Hoffmann 2020)","plainCitation":"(Vardiman et al. 1971; Hoffmann 2020)","dontUpdate":true,"noteIndex":0},"citationItems":[{"id":54,"uris":["http://zotero.org/users/local/LzhHb4Ct/items/UF2MIVI4"],"itemData":{"id":54,"type":"article-journal","abstract":"Abstract This paper describes the equipment, the theory, and the results of an operational fog-dissipation system installed at Fairchild AFB, Washington, during the winter of 1969–70. An array of stationary ground dispensers was employed to determine the effectiveness of such a system for providing operational support to aircraft landings and take-offs. Usable clearings followed 25 of 29 seeding operations conducted to bring field conditions above minima. In 17 cases the clearings were conclusively the result of fog seeding. Natural clearing appeared to be at least partially responsible in the eight other cases. Seeding failed to produce usable results in four cases in which the temperature was 31F or higher. In an additional five cases preventive seeding was carried out when initial conditions were above minima. In these cases no attempt was made to evaluate the results due to the uncertainty in knowing the conditions which would have occurred without seeding. A total of 68 aircraft departures and 35 landings were made possible during the project.","container-title":"Journal of Applied Meteorology and Climatology","DOI":"10.1175/1520-0450(1971)010&lt;0515:ODOSFU&gt;2.0.CO;2","ISSN":"1520-0450","issue":"3","language":"EN","note":"publisher: American Meteorological Society\nsection: Journal of Applied Meteorology and Climatology","page":"515-525","source":"journals.ametsoc.org","title":"Operational Dissipation of Supercooled Fog Using Liquid Propane","volume":"10","author":[{"family":"Vardiman","given":"Larry"},{"family":"Figgins","given":"Everett D."},{"family":"Appleman","given":"Herbert S."}],"issued":{"date-parts":[["1971",6,1]]}}},{"id":124,"uris":["http://zotero.org/users/local/LzhHb4Ct/items/LSY78R3X"],"itemData":{"id":124,"type":"article-journal","abstract":"Abstract The growth of ice crystals at the expense of water droplets, the Wegener–Bergeron–Findeisen (WBF) process, is of major importance for the production of precipitation in mixed-phase clouds. The effects of entrainment and mixing on WBF, however, are not well understood, and small-scale inhomogeneities in the thermodynamic and hydrometeor fields are typically neglected in current models. By applying the linear eddy model, a millimeter-resolution representation of turbulent deformation and molecular diffusion, we investigate these small-scale effects on WBF. While we show that entrainment is accelerating WBF by contributing to the evaporation of liquid droplets, entrainment may also cause aforementioned inhomogeneities, particularly regions filled with exclusively ice or liquid hydrometeors, which tend to decelerate WBF if the ice crystal concentration exceeds 100 L−1. At lower ice crystal concentrations, even weak turbulence can homogenize hydrometeor and thermodynamic fields sufficiently fast so as to not affect WBF. Independent of the ice crystal concentration, it is shown that a fully resolved entrainment and mixing process may delay the nucleation of entrained aerosols to ice crystals, thereby delaying the uptake of water vapor by the ice phase, further slowing down WBF. All in all, this study indicates that, under specific conditions, small-scale inhomogeneities associated with entrainment and mixing counteract the accelerated WBF in entraining clouds. However, further research is required to assess the importance of the newly discovered processes more broadly in fully coupled, evolving mixed-phase cloud systems.","container-title":"Journal of the Atmospheric Sciences","DOI":"10.1175/JAS-D-19-0289.1","ISSN":"0022-4928, 1520-0469","issue":"6","language":"EN","note":"publisher: American Meteorological Society\nsection: Journal of the Atmospheric Sciences","page":"2279-2296","source":"journals.ametsoc.org","title":"Effects of Entrainment and Mixing on the Wegener–Bergeron–Findeisen Process","volume":"77","author":[{"family":"Hoffmann","given":"Fabian"}],"issued":{"date-parts":[["2020",6,9]]}}}],"schema":"https://github.com/citation-style-language/schema/raw/master/csl-citation.json"} </w:instrText>
      </w:r>
      <w:r w:rsidR="00D151F9" w:rsidRPr="008739B9">
        <w:fldChar w:fldCharType="separate"/>
      </w:r>
      <w:r w:rsidR="00D151F9" w:rsidRPr="008739B9">
        <w:t>Vardiman et al. 1971; Hoffmann 2020)</w:t>
      </w:r>
      <w:r w:rsidR="00D151F9" w:rsidRPr="008739B9">
        <w:fldChar w:fldCharType="end"/>
      </w:r>
      <w:r w:rsidR="00EF1CD2" w:rsidRPr="008739B9">
        <w:fldChar w:fldCharType="end"/>
      </w:r>
      <w:r w:rsidR="00953AF9" w:rsidRPr="008739B9">
        <w:t>.</w:t>
      </w:r>
      <w:r w:rsidR="00F27BCA" w:rsidRPr="008739B9">
        <w:t xml:space="preserve"> As such, </w:t>
      </w:r>
      <w:r w:rsidR="00A269C8" w:rsidRPr="008739B9">
        <w:t xml:space="preserve">ice crystals </w:t>
      </w:r>
      <w:r w:rsidR="00AE5D1D" w:rsidRPr="008739B9">
        <w:t xml:space="preserve">have the potential to </w:t>
      </w:r>
      <w:r w:rsidR="00A269C8" w:rsidRPr="008739B9">
        <w:t>rapidly grow at the expense of</w:t>
      </w:r>
      <w:r w:rsidR="0000723D" w:rsidRPr="008739B9">
        <w:t xml:space="preserve"> supercooled water droplets via </w:t>
      </w:r>
      <w:r w:rsidR="00F7360F" w:rsidRPr="008739B9">
        <w:t xml:space="preserve">the </w:t>
      </w:r>
      <w:proofErr w:type="spellStart"/>
      <w:r w:rsidR="006E0AA3" w:rsidRPr="008739B9">
        <w:t>Wengener</w:t>
      </w:r>
      <w:proofErr w:type="spellEnd"/>
      <w:r w:rsidR="006E0AA3" w:rsidRPr="008739B9">
        <w:t>-</w:t>
      </w:r>
      <w:r w:rsidR="00F7360F" w:rsidRPr="008739B9">
        <w:t>Bergeron-</w:t>
      </w:r>
      <w:proofErr w:type="spellStart"/>
      <w:r w:rsidR="00F7360F" w:rsidRPr="008739B9">
        <w:t>F</w:t>
      </w:r>
      <w:r w:rsidR="00AE5D1D" w:rsidRPr="008739B9">
        <w:t>i</w:t>
      </w:r>
      <w:r w:rsidR="00F7360F" w:rsidRPr="008739B9">
        <w:t>ndeison</w:t>
      </w:r>
      <w:proofErr w:type="spellEnd"/>
      <w:r w:rsidR="00F7360F" w:rsidRPr="008739B9">
        <w:t xml:space="preserve"> process</w:t>
      </w:r>
      <w:r w:rsidR="00531DA5" w:rsidRPr="008739B9">
        <w:t xml:space="preserve"> </w:t>
      </w:r>
      <w:r w:rsidR="00531DA5" w:rsidRPr="008739B9">
        <w:fldChar w:fldCharType="begin"/>
      </w:r>
      <w:r w:rsidR="002970DC" w:rsidRPr="008739B9">
        <w:instrText xml:space="preserve"> ADDIN ZOTERO_ITEM CSL_CITATION {"citationID":"ikO3BN47","properties":{"formattedCitation":"(Korolev 2007; Storelvmo and Ivy 2015)","plainCitation":"(Korolev 2007; Storelvmo and Ivy 2015)","noteIndex":0},"citationItems":[{"id":127,"uris":["http://zotero.org/users/local/LzhHb4Ct/items/4YCK25PY"],"itemData":{"id":127,"type":"article-journal","abstract":"Abstract Phase transformation and precipitation formation in mixed-phase clouds are usually associated with the Wegener–Bergeron–Findeisen (WBF) process in which ice crystals grow at the expense of liquid droplets. The evolution of mixed-phase clouds, however, is closely related to local thermodynamical conditions, and the WBF process is just one of three possible scenarios. The other two scenarios involve simultaneous growth or evaporation of liquid droplets and ice particles. Particle evolution in the other two scenarios differs significantly from that associated with the WBF process. Thus, during simultaneous growth, liquid droplets compete for the water vapor with the ice particle, which slows down the depositional growth of ice particles instead of promoting their growth at the expense of the liquid as in the WBF process. It is shown that the WBF process is expected to occur under a limited range of conditions and that ice particles and liquid droplets in mixed-phase clouds are not always processed in accordance with the WBF mechanism.","container-title":"Journal of the Atmospheric Sciences","DOI":"10.1175/JAS4035.1","ISSN":"0022-4928, 1520-0469","issue":"9","language":"EN","note":"publisher: American Meteorological Society\nsection: Journal of the Atmospheric Sciences","page":"3372-3375","source":"journals.ametsoc.org","title":"Limitations of the Wegener–Bergeron–Findeisen Mechanism in the Evolution of Mixed-Phase Clouds","volume":"64","author":[{"family":"Korolev","given":"Alexei"}],"issued":{"date-parts":[["2007",9,1]]}}},{"id":126,"uris":["http://zotero.org/users/local/LzhHb4Ct/items/PFJTN9MA"],"itemData":{"id":126,"type":"article-journal","container-title":"Meteorologische Zeitschrift","title":"The Wegener-Bergeron-Findeison process - Its discovery and vital importance for weather and climate","author":[{"family":"Storelvmo","given":"Trude"},{"family":"Ivy","given":"Tan"}],"issued":{"date-parts":[["2015"]]}},"label":"page"}],"schema":"https://github.com/citation-style-language/schema/raw/master/csl-citation.json"} </w:instrText>
      </w:r>
      <w:r w:rsidR="00531DA5" w:rsidRPr="008739B9">
        <w:fldChar w:fldCharType="separate"/>
      </w:r>
      <w:r w:rsidR="002970DC" w:rsidRPr="008739B9">
        <w:t>(Korolev 2007; Storelvmo and Ivy 2015)</w:t>
      </w:r>
      <w:r w:rsidR="00531DA5" w:rsidRPr="008739B9">
        <w:fldChar w:fldCharType="end"/>
      </w:r>
      <w:r w:rsidR="00AE5D1D" w:rsidRPr="008739B9">
        <w:t>.</w:t>
      </w:r>
      <w:r w:rsidR="007D13EB" w:rsidRPr="008739B9">
        <w:t xml:space="preserve"> </w:t>
      </w:r>
      <w:r w:rsidR="0070153D" w:rsidRPr="008739B9">
        <w:t>Fog</w:t>
      </w:r>
      <w:r w:rsidR="001B4226" w:rsidRPr="008739B9">
        <w:t xml:space="preserve"> droplets can persist in a supercooled state </w:t>
      </w:r>
      <w:r w:rsidR="005F5C76" w:rsidRPr="008739B9">
        <w:t xml:space="preserve">to temperatures as cold as </w:t>
      </w:r>
      <w:r w:rsidR="003B2685" w:rsidRPr="008739B9">
        <w:t xml:space="preserve">-40 °C </w:t>
      </w:r>
      <w:r w:rsidR="00FB7482" w:rsidRPr="008739B9">
        <w:t xml:space="preserve">in the absence of </w:t>
      </w:r>
      <w:r w:rsidR="009656D2" w:rsidRPr="008739B9">
        <w:t>ice nucleating particles</w:t>
      </w:r>
      <w:r w:rsidR="00EF188F" w:rsidRPr="008739B9">
        <w:t xml:space="preserve"> </w:t>
      </w:r>
      <w:r w:rsidR="00EF188F" w:rsidRPr="008739B9">
        <w:fldChar w:fldCharType="begin"/>
      </w:r>
      <w:r w:rsidR="00EF188F" w:rsidRPr="008739B9">
        <w:instrText xml:space="preserve"> ADDIN ZOTERO_ITEM CSL_CITATION {"citationID":"04DXV3Rh","properties":{"formattedCitation":"(Pruppacher and Klett 2010)","plainCitation":"(Pruppacher and Klett 2010)","noteIndex":0},"citationItems":[{"id":129,"uris":["http://zotero.org/users/local/LzhHb4Ct/items/U2Q6ARGA"],"itemData":{"id":129,"type":"chapter","abstract":"Our outline in the previous three chapters of the equilibrium thermodynamics of the phases of water is insufficient for an understanding of cloud particle formation, since we did not come to grips with the crucial question of how a new phase is initiated. Consider, for example, that on the basis of the Kelvin equation alone, the formation of a water drop from homogeneous water vapor would be precluded because the vapor pressure required to hold a microscopic quantity of newly formed phase in equilibrium would be quite enormous. This expectation is in disagreement with experimental observations which show that a large but finite supersaturation exists above which homogeneous phase change does take place.","collection-title":"Atmospheric and Oceanographic Sciences Library","container-title":"Microphysics of Clouds and Precipitation","event-place":"Dordrecht","ISBN":"978-0-306-48100-0","language":"en","note":"DOI: 10.1007/978-0-306-48100-0_7","page":"191-215","publisher":"Springer Netherlands","publisher-place":"Dordrecht","source":"Springer Link","title":"Homogeneous Nucleation","URL":"https://doi.org/10.1007/978-0-306-48100-0_7","author":[{"family":"Pruppacher","given":"H.R."},{"family":"Klett","given":"J.D."}],"editor":[{"family":"Pruppacher","given":"H.R."},{"family":"Klett","given":"J.D."}],"accessed":{"date-parts":[["2023",10,12]]},"issued":{"date-parts":[["2010"]]}}}],"schema":"https://github.com/citation-style-language/schema/raw/master/csl-citation.json"} </w:instrText>
      </w:r>
      <w:r w:rsidR="00EF188F" w:rsidRPr="008739B9">
        <w:fldChar w:fldCharType="separate"/>
      </w:r>
      <w:r w:rsidR="00EF188F" w:rsidRPr="008739B9">
        <w:t>(Pruppacher and Klett 2010)</w:t>
      </w:r>
      <w:r w:rsidR="00EF188F" w:rsidRPr="008739B9">
        <w:fldChar w:fldCharType="end"/>
      </w:r>
      <w:r w:rsidR="009656D2" w:rsidRPr="008739B9">
        <w:t>.</w:t>
      </w:r>
      <w:r w:rsidR="00FC294A" w:rsidRPr="008739B9">
        <w:t xml:space="preserve"> </w:t>
      </w:r>
      <w:r w:rsidR="0097274B" w:rsidRPr="008739B9">
        <w:t xml:space="preserve">Consequently, </w:t>
      </w:r>
      <w:r w:rsidR="00C21508" w:rsidRPr="008739B9">
        <w:t xml:space="preserve">the supercooled fog modification process is </w:t>
      </w:r>
      <w:r w:rsidR="007C6221" w:rsidRPr="008739B9">
        <w:t>contingent</w:t>
      </w:r>
      <w:r w:rsidR="00C21508" w:rsidRPr="008739B9">
        <w:t xml:space="preserve"> on the </w:t>
      </w:r>
      <w:r w:rsidR="00501643" w:rsidRPr="008739B9">
        <w:t xml:space="preserve">type of </w:t>
      </w:r>
      <w:r w:rsidR="009874B0" w:rsidRPr="008739B9">
        <w:t xml:space="preserve">nucleation </w:t>
      </w:r>
      <w:r w:rsidR="007C6221" w:rsidRPr="008739B9">
        <w:t>that</w:t>
      </w:r>
      <w:r w:rsidR="009874B0" w:rsidRPr="008739B9">
        <w:t xml:space="preserve"> initiate</w:t>
      </w:r>
      <w:r w:rsidR="007C6221" w:rsidRPr="008739B9">
        <w:t>s</w:t>
      </w:r>
      <w:r w:rsidR="009874B0" w:rsidRPr="008739B9">
        <w:t xml:space="preserve"> ice crystal growth. </w:t>
      </w:r>
    </w:p>
    <w:p w14:paraId="780A2581" w14:textId="6399AD96" w:rsidR="00CD76A5" w:rsidRPr="008739B9" w:rsidRDefault="004A0C0D" w:rsidP="008739B9">
      <w:pPr>
        <w:pStyle w:val="TextFormat"/>
      </w:pPr>
      <w:r w:rsidRPr="008739B9">
        <w:lastRenderedPageBreak/>
        <w:t xml:space="preserve">As discussed by </w:t>
      </w:r>
      <w:r w:rsidRPr="008739B9">
        <w:fldChar w:fldCharType="begin"/>
      </w:r>
      <w:r w:rsidR="007C286F" w:rsidRPr="008739B9">
        <w:instrText xml:space="preserve"> ADDIN ZOTERO_ITEM CSL_CITATION {"citationID":"uaiPZaW6","properties":{"formattedCitation":"(Pruppacher and Klett 2010)","plainCitation":"(Pruppacher and Klett 2010)","dontUpdate":true,"noteIndex":0},"citationItems":[{"id":129,"uris":["http://zotero.org/users/local/LzhHb4Ct/items/U2Q6ARGA"],"itemData":{"id":129,"type":"chapter","abstract":"Our outline in the previous three chapters of the equilibrium thermodynamics of the phases of water is insufficient for an understanding of cloud particle formation, since we did not come to grips with the crucial question of how a new phase is initiated. Consider, for example, that on the basis of the Kelvin equation alone, the formation of a water drop from homogeneous water vapor would be precluded because the vapor pressure required to hold a microscopic quantity of newly formed phase in equilibrium would be quite enormous. This expectation is in disagreement with experimental observations which show that a large but finite supersaturation exists above which homogeneous phase change does take place.","collection-title":"Atmospheric and Oceanographic Sciences Library","container-title":"Microphysics of Clouds and Precipitation","event-place":"Dordrecht","ISBN":"978-0-306-48100-0","language":"en","note":"DOI: 10.1007/978-0-306-48100-0_7","page":"191-215","publisher":"Springer Netherlands","publisher-place":"Dordrecht","source":"Springer Link","title":"Homogeneous Nucleation","URL":"https://doi.org/10.1007/978-0-306-48100-0_7","author":[{"family":"Pruppacher","given":"H.R."},{"family":"Klett","given":"J.D."}],"editor":[{"family":"Pruppacher","given":"H.R."},{"family":"Klett","given":"J.D."}],"accessed":{"date-parts":[["2023",10,12]]},"issued":{"date-parts":[["2010"]]}}}],"schema":"https://github.com/citation-style-language/schema/raw/master/csl-citation.json"} </w:instrText>
      </w:r>
      <w:r w:rsidRPr="008739B9">
        <w:fldChar w:fldCharType="separate"/>
      </w:r>
      <w:r w:rsidRPr="008739B9">
        <w:t xml:space="preserve">Pruppacher and Klett </w:t>
      </w:r>
      <w:r w:rsidR="004E56CF" w:rsidRPr="008739B9">
        <w:t>(</w:t>
      </w:r>
      <w:r w:rsidRPr="008739B9">
        <w:t>2010)</w:t>
      </w:r>
      <w:r w:rsidRPr="008739B9">
        <w:fldChar w:fldCharType="end"/>
      </w:r>
      <w:r w:rsidR="004E56CF" w:rsidRPr="008739B9">
        <w:t>, homogenous nucleation of supercooled water droplets occurs at temperatures below -40 °C</w:t>
      </w:r>
      <w:r w:rsidR="00EF1762" w:rsidRPr="008739B9">
        <w:t xml:space="preserve">. </w:t>
      </w:r>
      <w:r w:rsidR="00D821FC" w:rsidRPr="008739B9">
        <w:t xml:space="preserve">At this thermal threshold, the height of the free-energy barrier between phases </w:t>
      </w:r>
      <w:r w:rsidR="00352AD2" w:rsidRPr="008739B9">
        <w:t xml:space="preserve">becomes negligible; </w:t>
      </w:r>
      <w:r w:rsidR="00D821FC" w:rsidRPr="008739B9">
        <w:t xml:space="preserve">any </w:t>
      </w:r>
      <w:r w:rsidR="00352AD2" w:rsidRPr="008739B9">
        <w:t>minor fluctuation</w:t>
      </w:r>
      <w:r w:rsidR="00D821FC" w:rsidRPr="008739B9">
        <w:t xml:space="preserve"> from the equilibrium state of the system </w:t>
      </w:r>
      <w:r w:rsidR="00352AD2" w:rsidRPr="008739B9">
        <w:t>instigates the</w:t>
      </w:r>
      <w:r w:rsidR="00D821FC" w:rsidRPr="008739B9">
        <w:t xml:space="preserve"> </w:t>
      </w:r>
      <w:r w:rsidR="00352AD2" w:rsidRPr="008739B9">
        <w:t xml:space="preserve">formation of </w:t>
      </w:r>
      <w:r w:rsidR="00B0637D" w:rsidRPr="008739B9">
        <w:t xml:space="preserve">the </w:t>
      </w:r>
      <w:r w:rsidR="00352AD2" w:rsidRPr="008739B9">
        <w:t>low</w:t>
      </w:r>
      <w:r w:rsidR="007B26AF" w:rsidRPr="008739B9">
        <w:t>er</w:t>
      </w:r>
      <w:r w:rsidR="00B0637D" w:rsidRPr="008739B9">
        <w:t xml:space="preserve"> </w:t>
      </w:r>
      <w:r w:rsidR="00352AD2" w:rsidRPr="008739B9">
        <w:t>energy</w:t>
      </w:r>
      <w:r w:rsidR="00DC7942" w:rsidRPr="008739B9">
        <w:t>, solid state</w:t>
      </w:r>
      <w:r w:rsidR="00352AD2" w:rsidRPr="008739B9">
        <w:t xml:space="preserve"> </w:t>
      </w:r>
      <w:r w:rsidR="00352AD2" w:rsidRPr="008739B9">
        <w:fldChar w:fldCharType="begin"/>
      </w:r>
      <w:r w:rsidR="00352AD2" w:rsidRPr="008739B9">
        <w:instrText xml:space="preserve"> ADDIN ZOTERO_ITEM CSL_CITATION {"citationID":"W1PGVOzz","properties":{"formattedCitation":"(Oxtoby 1992)","plainCitation":"(Oxtoby 1992)","noteIndex":0},"citationItems":[{"id":140,"uris":["http://zotero.org/users/local/LzhHb4Ct/items/8DWLCSFY"],"itemData":{"id":140,"type":"article-journal","abstract":"Recent theoretical and experimental advances in the study of homogeneous nucleation are reviewed, with emphasis placed on phase transitions involving single-component liquids (condensation, cavitation, and crystallization from the melt). Extensions of classical nucleation theory are described and compared with new experiments that now directly measure nucleation rates. Novel methods of statistical mechanics, including density-functional theory and computer simulations, are presented. The recent rapid evolution of this field has opened up many new questions for further research.","container-title":"Journal of Physics: Condensed Matter","DOI":"10.1088/0953-8984/4/38/001","ISSN":"0953-8984","issue":"38","journalAbbreviation":"J. Phys.: Condens. Matter","language":"en","page":"7627","source":"Institute of Physics","title":"Homogeneous nucleation: theory and experiment","title-short":"Homogeneous nucleation","volume":"4","author":[{"family":"Oxtoby","given":"D. W."}],"issued":{"date-parts":[["1992",9]]}}}],"schema":"https://github.com/citation-style-language/schema/raw/master/csl-citation.json"} </w:instrText>
      </w:r>
      <w:r w:rsidR="00352AD2" w:rsidRPr="008739B9">
        <w:fldChar w:fldCharType="separate"/>
      </w:r>
      <w:r w:rsidR="00352AD2" w:rsidRPr="008739B9">
        <w:t>(Oxtoby 1992)</w:t>
      </w:r>
      <w:r w:rsidR="00352AD2" w:rsidRPr="008739B9">
        <w:fldChar w:fldCharType="end"/>
      </w:r>
      <w:r w:rsidR="00352AD2" w:rsidRPr="008739B9">
        <w:t xml:space="preserve">. </w:t>
      </w:r>
      <w:r w:rsidR="00D821FC" w:rsidRPr="008739B9">
        <w:t xml:space="preserve"> </w:t>
      </w:r>
      <w:r w:rsidR="00352AD2" w:rsidRPr="008739B9">
        <w:t>Therefore, s</w:t>
      </w:r>
      <w:r w:rsidR="008B2BB6" w:rsidRPr="008739B9">
        <w:t>upercooled</w:t>
      </w:r>
      <w:r w:rsidR="004A53FE" w:rsidRPr="008739B9">
        <w:t xml:space="preserve"> fog</w:t>
      </w:r>
      <w:r w:rsidR="008B2BB6" w:rsidRPr="008739B9">
        <w:t xml:space="preserve"> modification</w:t>
      </w:r>
      <w:r w:rsidR="00AD2DCA" w:rsidRPr="008739B9">
        <w:t xml:space="preserve"> methods </w:t>
      </w:r>
      <w:r w:rsidR="00352AD2" w:rsidRPr="008739B9">
        <w:t>utilizing</w:t>
      </w:r>
      <w:r w:rsidR="00AD2DCA" w:rsidRPr="008739B9">
        <w:t xml:space="preserve"> homogeneous nucleation </w:t>
      </w:r>
      <w:r w:rsidR="008C3BF7" w:rsidRPr="008739B9">
        <w:t>must</w:t>
      </w:r>
      <w:r w:rsidR="00DC7942" w:rsidRPr="008739B9">
        <w:t xml:space="preserve"> </w:t>
      </w:r>
      <w:r w:rsidR="00A01468" w:rsidRPr="008739B9">
        <w:t xml:space="preserve">thermally cool </w:t>
      </w:r>
      <w:r w:rsidR="005E4227" w:rsidRPr="008739B9">
        <w:t xml:space="preserve">a parcel </w:t>
      </w:r>
      <w:r w:rsidR="00F618D2" w:rsidRPr="008739B9">
        <w:t>to</w:t>
      </w:r>
      <w:r w:rsidR="00DC7942" w:rsidRPr="008739B9">
        <w:t xml:space="preserve"> a</w:t>
      </w:r>
      <w:r w:rsidR="00F618D2" w:rsidRPr="008739B9">
        <w:t xml:space="preserve"> temperature below </w:t>
      </w:r>
      <w:r w:rsidR="00DC7942" w:rsidRPr="008739B9">
        <w:t>-40 °C to</w:t>
      </w:r>
      <w:r w:rsidR="007B26AF" w:rsidRPr="008739B9">
        <w:t xml:space="preserve"> initiate ice crystal growth</w:t>
      </w:r>
      <w:r w:rsidR="00F618D2" w:rsidRPr="008739B9">
        <w:t xml:space="preserve">. </w:t>
      </w:r>
      <w:r w:rsidR="003F1A35" w:rsidRPr="008739B9">
        <w:t>Most c</w:t>
      </w:r>
      <w:r w:rsidR="009F153C" w:rsidRPr="008739B9">
        <w:t>ommonly, t</w:t>
      </w:r>
      <w:r w:rsidR="0098088E" w:rsidRPr="008739B9">
        <w:t>his is accomplished through sublimation</w:t>
      </w:r>
      <w:r w:rsidR="009F5367" w:rsidRPr="008739B9">
        <w:t xml:space="preserve"> using</w:t>
      </w:r>
      <w:r w:rsidR="006B7703" w:rsidRPr="008739B9">
        <w:t xml:space="preserve"> dry ice</w:t>
      </w:r>
      <w:r w:rsidR="009F5367" w:rsidRPr="008739B9">
        <w:t>,</w:t>
      </w:r>
      <w:r w:rsidR="008E47B8" w:rsidRPr="008739B9">
        <w:t xml:space="preserve"> </w:t>
      </w:r>
      <w:r w:rsidR="009F153C" w:rsidRPr="008739B9">
        <w:t>or</w:t>
      </w:r>
      <w:r w:rsidR="008E47B8" w:rsidRPr="008739B9">
        <w:t xml:space="preserve"> </w:t>
      </w:r>
      <w:r w:rsidR="009F5367" w:rsidRPr="008739B9">
        <w:t xml:space="preserve">by </w:t>
      </w:r>
      <w:r w:rsidR="008E47B8" w:rsidRPr="008739B9">
        <w:t xml:space="preserve">evaporation </w:t>
      </w:r>
      <w:r w:rsidR="009F5367" w:rsidRPr="008739B9">
        <w:t>using</w:t>
      </w:r>
      <w:r w:rsidR="00B61E60" w:rsidRPr="008739B9">
        <w:t xml:space="preserve"> liquified prop</w:t>
      </w:r>
      <w:r w:rsidR="00FB56FA" w:rsidRPr="008739B9">
        <w:t>ane</w:t>
      </w:r>
      <w:r w:rsidR="009F153C" w:rsidRPr="008739B9">
        <w:t xml:space="preserve"> </w:t>
      </w:r>
      <w:r w:rsidR="003F1A35" w:rsidRPr="008739B9">
        <w:fldChar w:fldCharType="begin"/>
      </w:r>
      <w:r w:rsidR="003F1A35" w:rsidRPr="008739B9">
        <w:instrText xml:space="preserve"> ADDIN ZOTERO_ITEM CSL_CITATION {"citationID":"qmvaToUl","properties":{"formattedCitation":"(Vardiman et al. 1971; Hicks and Vali 1973; Weinstein and Hicks 1976)","plainCitation":"(Vardiman et al. 1971; Hicks and Vali 1973; Weinstein and Hicks 1976)","noteIndex":0},"citationItems":[{"id":54,"uris":["http://zotero.org/users/local/LzhHb4Ct/items/UF2MIVI4"],"itemData":{"id":54,"type":"article-journal","abstract":"Abstract This paper describes the equipment, the theory, and the results of an operational fog-dissipation system installed at Fairchild AFB, Washington, during the winter of 1969–70. An array of stationary ground dispensers was employed to determine the effectiveness of such a system for providing operational support to aircraft landings and take-offs. Usable clearings followed 25 of 29 seeding operations conducted to bring field conditions above minima. In 17 cases the clearings were conclusively the result of fog seeding. Natural clearing appeared to be at least partially responsible in the eight other cases. Seeding failed to produce usable results in four cases in which the temperature was 31F or higher. In an additional five cases preventive seeding was carried out when initial conditions were above minima. In these cases no attempt was made to evaluate the results due to the uncertainty in knowing the conditions which would have occurred without seeding. A total of 68 aircraft departures and 35 landings were made possible during the project.","container-title":"Journal of Applied Meteorology and Climatology","DOI":"10.1175/1520-0450(1971)010&lt;0515:ODOSFU&gt;2.0.CO;2","ISSN":"1520-0450","issue":"3","language":"EN","note":"publisher: American Meteorological Society\nsection: Journal of Applied Meteorology and Climatology","page":"515-525","source":"journals.ametsoc.org","title":"Operational Dissipation of Supercooled Fog Using Liquid Propane","volume":"10","author":[{"family":"Vardiman","given":"Larry"},{"family":"Figgins","given":"Everett D."},{"family":"Appleman","given":"Herbert S."}],"issued":{"date-parts":[["1971",6,1]]}}},{"id":132,"uris":["http://zotero.org/users/local/LzhHb4Ct/items/NX693YMP"],"itemData":{"id":132,"type":"article-journal","abstract":"Abstract The inducement of cloud glaciation by cooling with evaporating droplets of liquefied propane was investigated in laboratory experiments and in field tests. The efficiency of ice crystal production was shown to be near 1012 crystals per gram of propane for temperatures colder than −2C; 1010 crystals were produced at supercoolings of few tenths of a degree. Observed variations of the efficiency with changes in cloud liquid water content and in wind velocity indicate that the rate of vapor supply to the cooled plume is the limiting factor in ice crystal production. Ice crystal habits and growth rates were also examined and inferences could be drawn regarding the nucleation mechanisms of the ice crystals in the cooled zone. The results indicate that liquefied propane is an effective, easy-to-use, and safe nucleating agent. The experiments helped delineate the factors which are to be considered in designing practical applications of the technique.","container-title":"Journal of Applied Meteorology and Climatology","DOI":"10.1175/1520-0450(1973)012&lt;1025:INICBL&gt;2.0.CO;2","ISSN":"1520-0450","issue":"6","language":"EN","note":"publisher: American Meteorological Society\nsection: Journal of Applied Meteorology and Climatology","page":"1025-1034","source":"journals.ametsoc.org","title":"Ice Nucleation in Clouds by Liquefied Propane Spray","volume":"12","author":[{"family":"Hicks","given":"James R."},{"family":"Vali","given":"Gabor"}],"issued":{"date-parts":[["1973",9,1]]}}},{"id":2,"uris":["http://zotero.org/users/local/LzhHb4Ct/items/7FBKPHC3"],"itemData":{"id":2,"type":"article-journal","abstract":"Experiments have been performed under controlled and free environment conditions to determine the technical feasibility of using the cooling resulting from the adiabatic expansion of compressed air to initiate ice crystal production in a supercooled fog. These experiments have shown that for most supercooled temperatures, approximately 103 cm3 of air when compressed to 60 psig and released through a supersonic nozzle will produce the same number of ice crystals as does the evaporation of 1 cm3 of liquid propane. It is estimated that a compressed air supercooled fog dispersal system would consume approximately 6% of the hydrocarbon fuel presently consumed by operational systems using liquid propane spray.","container-title":"Journal of Applied Meteorology (1962-1982)","ISSN":"0021-8952","issue":"11","note":"publisher: American Meteorological Society","page":"1226-1231","source":"JSTOR","title":"Use of Compressed Air for Supercooled Fog Dispersal","volume":"15","author":[{"family":"Weinstein","given":"Alan I."},{"family":"Hicks","given":"James R."}],"issued":{"date-parts":[["1976"]]}}}],"schema":"https://github.com/citation-style-language/schema/raw/master/csl-citation.json"} </w:instrText>
      </w:r>
      <w:r w:rsidR="003F1A35" w:rsidRPr="008739B9">
        <w:fldChar w:fldCharType="separate"/>
      </w:r>
      <w:r w:rsidR="003F1A35" w:rsidRPr="008739B9">
        <w:t>(Vardiman et al. 1971; Hicks and Vali 1973; Weinstein and Hicks 1976)</w:t>
      </w:r>
      <w:r w:rsidR="003F1A35" w:rsidRPr="008739B9">
        <w:fldChar w:fldCharType="end"/>
      </w:r>
      <w:r w:rsidR="003F1A35" w:rsidRPr="008739B9">
        <w:t>.</w:t>
      </w:r>
      <w:r w:rsidR="00544E7B" w:rsidRPr="008739B9">
        <w:t xml:space="preserve"> </w:t>
      </w:r>
      <w:r w:rsidR="00AB11D1" w:rsidRPr="008739B9">
        <w:t>On the other hand, h</w:t>
      </w:r>
      <w:r w:rsidR="009C178F" w:rsidRPr="008739B9">
        <w:t>eterogeneous nucleation</w:t>
      </w:r>
      <w:r w:rsidR="00AB11D1" w:rsidRPr="008739B9">
        <w:t xml:space="preserve"> </w:t>
      </w:r>
      <w:r w:rsidR="009C178F" w:rsidRPr="008739B9">
        <w:t xml:space="preserve">can </w:t>
      </w:r>
      <w:r w:rsidR="00AB11D1" w:rsidRPr="008739B9">
        <w:t xml:space="preserve">occur </w:t>
      </w:r>
      <w:r w:rsidR="009C178F" w:rsidRPr="008739B9">
        <w:t xml:space="preserve">at ambient temperatures well </w:t>
      </w:r>
      <w:r w:rsidR="008E5A12">
        <w:t>above</w:t>
      </w:r>
      <w:r w:rsidR="009C178F" w:rsidRPr="008739B9">
        <w:t xml:space="preserve"> the -40 °C threshold required for homogenous nucleation </w:t>
      </w:r>
      <w:r w:rsidR="009C178F" w:rsidRPr="008739B9">
        <w:fldChar w:fldCharType="begin"/>
      </w:r>
      <w:r w:rsidR="006422AD">
        <w:instrText xml:space="preserve"> ADDIN ZOTERO_ITEM CSL_CITATION {"citationID":"shgCdTOa","properties":{"formattedCitation":"(Vonnegut 1947; Lease and Zeigler 1972)","plainCitation":"(Vonnegut 1947; Lease and Zeigler 1972)","dontUpdate":true,"noteIndex":0},"citationItems":[{"id":"2zGPmLrU/LZvKaa1a","uris":["http://zotero.org/users/10372145/items/KTCMFYQY"],"itemData":{"id":"9n60rdjU/EM79hPjo","type":"article-journal","container-title":"Journal of Applied Physics","DOI":"10.1063/1.1697813","ISSN":"0021-8979, 1089-7550","issue":"7","journalAbbreviation":"Journal of Applied Physics","language":"en","page":"593-595","source":"DOI.org (Crossref)","title":"The Nucleation of Ice Formation by Silver Iodide","volume":"18","author":[{"family":"Vonnegut","given":"B."}],"issued":{"date-parts":[["1947",7]]}}},{"id":100,"uris":["http://zotero.org/users/local/LzhHb4Ct/items/7C8L7XZQ"],"itemData":{"id":100,"type":"article-journal","container-title":"The Military Engineer","ISSN":"0026-3982","issue":"420","note":"publisher: Society of American Military Engineers","page":"258-261","source":"JSTOR","title":"Doing Away with Fog","volume":"64","author":[{"family":"Lease","given":"John C."},{"family":"Zeigler","given":"Cary S."}],"issued":{"date-parts":[["1972"]]}}}],"schema":"https://github.com/citation-style-language/schema/raw/master/csl-citation.json"} </w:instrText>
      </w:r>
      <w:r w:rsidR="009C178F" w:rsidRPr="008739B9">
        <w:fldChar w:fldCharType="separate"/>
      </w:r>
      <w:r w:rsidR="009C178F" w:rsidRPr="008739B9">
        <w:t>(Lease and Zeigler 1972)</w:t>
      </w:r>
      <w:r w:rsidR="009C178F" w:rsidRPr="008739B9">
        <w:fldChar w:fldCharType="end"/>
      </w:r>
      <w:r w:rsidR="009C178F" w:rsidRPr="008739B9">
        <w:t>.</w:t>
      </w:r>
      <w:r w:rsidR="0019265A" w:rsidRPr="008739B9">
        <w:t xml:space="preserve"> </w:t>
      </w:r>
      <w:r w:rsidR="00AB11D1" w:rsidRPr="008739B9">
        <w:t>At low supersaturations</w:t>
      </w:r>
      <w:r w:rsidR="0016069E" w:rsidRPr="008739B9">
        <w:t xml:space="preserve"> typical</w:t>
      </w:r>
      <w:r w:rsidR="009F5367" w:rsidRPr="008739B9">
        <w:t>ly found</w:t>
      </w:r>
      <w:r w:rsidR="0016069E" w:rsidRPr="008739B9">
        <w:t xml:space="preserve"> within clouds</w:t>
      </w:r>
      <w:r w:rsidR="00AB11D1" w:rsidRPr="008739B9">
        <w:t xml:space="preserve">, materials that have a good structural match with the nucleating phase and have strong interactions with the metastable phase are candidates for heterogeneous nucleation </w:t>
      </w:r>
      <w:r w:rsidR="0016069E" w:rsidRPr="008739B9">
        <w:fldChar w:fldCharType="begin"/>
      </w:r>
      <w:r w:rsidR="0016069E" w:rsidRPr="008739B9">
        <w:instrText xml:space="preserve"> ADDIN ZOTERO_ITEM CSL_CITATION {"citationID":"QeWRs3C4","properties":{"formattedCitation":"(Liu 2000)","plainCitation":"(Liu 2000)","noteIndex":0},"citationItems":[{"id":144,"uris":["http://zotero.org/users/local/LzhHb4Ct/items/N3MH843S"],"itemData":{"id":144,"type":"article-journal","abstract":"The generic heterogeneous effect of foreign particles on three dimensional nucleation was examined both theoretically and experimentally. It shows that the nucleation observed under normal conditions includes a sequence of progressive heterogeneous processes, characterized by different interfacial correlation function f(m,x)s. At low supersaturations, nucleation will be controlled by the process with a small interfacial correlation function f(m,x), which results from a strong interaction and good structural match between the foreign bodies and the crystallizing phase. At high supersaturations, nucleation on foreign particles having a weak interaction and poor structural match with the crystallizing phase (f(m,x)→1) will govern the kinetics. This frequently leads to the false identification of homogeneous nucleation. Genuine homogeneous nucleation, which is the up-limit of heterogeneous nucleation, may not be easily achievable under gravity. In order to check these results, the prediction is confronted with nucleation experiments of some organic and inorganic crystals. The results are in excellent agreement with the theory.","container-title":"The Journal of Chemical Physics","DOI":"10.1063/1.481644","ISSN":"0021-9606","issue":"22","journalAbbreviation":"The Journal of Chemical Physics","page":"9949-9955","source":"Silverchair","title":"Heterogeneous nucleation or homogeneous nucleation?","volume":"112","author":[{"family":"Liu","given":"X. Y."}],"issued":{"date-parts":[["2000",6,8]]}}}],"schema":"https://github.com/citation-style-language/schema/raw/master/csl-citation.json"} </w:instrText>
      </w:r>
      <w:r w:rsidR="0016069E" w:rsidRPr="008739B9">
        <w:fldChar w:fldCharType="separate"/>
      </w:r>
      <w:r w:rsidR="0016069E" w:rsidRPr="008739B9">
        <w:t>(Liu 2000)</w:t>
      </w:r>
      <w:r w:rsidR="0016069E" w:rsidRPr="008739B9">
        <w:fldChar w:fldCharType="end"/>
      </w:r>
      <w:r w:rsidR="00AB11D1" w:rsidRPr="008739B9">
        <w:t xml:space="preserve">. </w:t>
      </w:r>
      <w:r w:rsidR="00C44899" w:rsidRPr="008739B9">
        <w:fldChar w:fldCharType="begin"/>
      </w:r>
      <w:r w:rsidR="006422AD">
        <w:instrText xml:space="preserve"> ADDIN ZOTERO_ITEM CSL_CITATION {"citationID":"Id6DQnZ7","properties":{"formattedCitation":"(Vonnegut 1947)","plainCitation":"(Vonnegut 1947)","dontUpdate":true,"noteIndex":0},"citationItems":[{"id":"2zGPmLrU/LZvKaa1a","uris":["http://zotero.org/users/10372145/items/KTCMFYQY"],"itemData":{"id":"9n60rdjU/EM79hPjo","type":"article-journal","container-title":"Journal of Applied Physics","DOI":"10.1063/1.1697813","ISSN":"0021-8979, 1089-7550","issue":"7","journalAbbreviation":"Journal of Applied Physics","language":"en","page":"593-595","source":"DOI.org (Crossref)","title":"The Nucleation of Ice Formation by Silver Iodide","volume":"18","author":[{"family":"Vonnegut","given":"B."}],"issued":{"date-parts":[["1947",7]]}}}],"schema":"https://github.com/citation-style-language/schema/raw/master/csl-citation.json"} </w:instrText>
      </w:r>
      <w:r w:rsidR="00C44899" w:rsidRPr="008739B9">
        <w:fldChar w:fldCharType="separate"/>
      </w:r>
      <w:r w:rsidR="00C44899" w:rsidRPr="008739B9">
        <w:t>Vonnegut (1947)</w:t>
      </w:r>
      <w:r w:rsidR="00C44899" w:rsidRPr="008739B9">
        <w:fldChar w:fldCharType="end"/>
      </w:r>
      <w:r w:rsidR="00C44899" w:rsidRPr="008739B9">
        <w:t xml:space="preserve"> showed that both dimensions of the unit cell of ice and </w:t>
      </w:r>
      <w:proofErr w:type="spellStart"/>
      <w:r w:rsidR="00CE6C41" w:rsidRPr="008739B9">
        <w:t>AgI</w:t>
      </w:r>
      <w:proofErr w:type="spellEnd"/>
      <w:r w:rsidR="00CE6C41" w:rsidRPr="008739B9">
        <w:t xml:space="preserve"> </w:t>
      </w:r>
      <w:r w:rsidR="00C44899" w:rsidRPr="008739B9">
        <w:t xml:space="preserve">are the same to within one percent, heralding </w:t>
      </w:r>
      <w:proofErr w:type="spellStart"/>
      <w:r w:rsidR="00C44899" w:rsidRPr="008739B9">
        <w:t>AgI</w:t>
      </w:r>
      <w:proofErr w:type="spellEnd"/>
      <w:r w:rsidR="00C44899" w:rsidRPr="008739B9">
        <w:t xml:space="preserve"> as the </w:t>
      </w:r>
      <w:r w:rsidR="00E42AB9" w:rsidRPr="008739B9">
        <w:t>industry-</w:t>
      </w:r>
      <w:r w:rsidR="00C44899" w:rsidRPr="008739B9">
        <w:t xml:space="preserve">standard seeding agent for weather modification methods </w:t>
      </w:r>
      <w:r w:rsidR="00E00843" w:rsidRPr="008739B9">
        <w:t>instigating</w:t>
      </w:r>
      <w:r w:rsidR="00C44899" w:rsidRPr="008739B9">
        <w:t xml:space="preserve"> </w:t>
      </w:r>
      <w:r w:rsidR="00CE6C41" w:rsidRPr="008739B9">
        <w:t xml:space="preserve">heterogeneous nucleation. </w:t>
      </w:r>
      <w:r w:rsidR="00B54EF2" w:rsidRPr="008739B9">
        <w:t xml:space="preserve">Problematically, </w:t>
      </w:r>
      <w:proofErr w:type="spellStart"/>
      <w:r w:rsidR="00E42AB9" w:rsidRPr="008739B9">
        <w:t>AgI</w:t>
      </w:r>
      <w:proofErr w:type="spellEnd"/>
      <w:r w:rsidR="00E42AB9" w:rsidRPr="008739B9">
        <w:t xml:space="preserve"> </w:t>
      </w:r>
      <w:r w:rsidR="00B54EF2" w:rsidRPr="008739B9">
        <w:t>e</w:t>
      </w:r>
      <w:r w:rsidR="00A2234B" w:rsidRPr="008739B9">
        <w:t xml:space="preserve">ffectiveness at temperatures where supercooled fog is most prevalent </w:t>
      </w:r>
      <w:r w:rsidR="00C44899" w:rsidRPr="008739B9">
        <w:t>(</w:t>
      </w:r>
      <w:r w:rsidR="00B54EF2" w:rsidRPr="008739B9">
        <w:t>-5 °C ≤ T ≤ 0 °C</w:t>
      </w:r>
      <w:r w:rsidR="00C44899" w:rsidRPr="008739B9">
        <w:t>)</w:t>
      </w:r>
      <w:r w:rsidR="00B54EF2" w:rsidRPr="008739B9">
        <w:t xml:space="preserve"> </w:t>
      </w:r>
      <w:r w:rsidR="00A2234B" w:rsidRPr="008739B9">
        <w:t>decreases as you approach the freezing poin</w:t>
      </w:r>
      <w:r w:rsidR="00665E2E" w:rsidRPr="008739B9">
        <w:t xml:space="preserve">t. </w:t>
      </w:r>
    </w:p>
    <w:p w14:paraId="162B69DA" w14:textId="15E95C26" w:rsidR="00705D0E" w:rsidRPr="008739B9" w:rsidRDefault="006A5A59" w:rsidP="008739B9">
      <w:pPr>
        <w:pStyle w:val="TextFormat"/>
      </w:pPr>
      <w:r w:rsidRPr="008739B9">
        <w:t>With</w:t>
      </w:r>
      <w:r w:rsidR="007D46AF" w:rsidRPr="008739B9">
        <w:t xml:space="preserve"> </w:t>
      </w:r>
      <w:r w:rsidRPr="008739B9">
        <w:t xml:space="preserve">near-surface restrictions </w:t>
      </w:r>
      <w:r w:rsidR="007D46AF" w:rsidRPr="008739B9">
        <w:t>constraining</w:t>
      </w:r>
      <w:r w:rsidRPr="008739B9">
        <w:t xml:space="preserve"> conventional aircraft</w:t>
      </w:r>
      <w:r w:rsidR="009F5367" w:rsidRPr="008739B9">
        <w:t xml:space="preserve"> operations</w:t>
      </w:r>
      <w:r w:rsidRPr="008739B9">
        <w:t>, t</w:t>
      </w:r>
      <w:r w:rsidR="00792DA3" w:rsidRPr="008739B9">
        <w:t xml:space="preserve">he emergence of </w:t>
      </w:r>
      <w:r w:rsidR="00F269EB" w:rsidRPr="008739B9">
        <w:t>UA</w:t>
      </w:r>
      <w:r w:rsidR="00A651DF" w:rsidRPr="008739B9">
        <w:t>S</w:t>
      </w:r>
      <w:r w:rsidR="00792DA3" w:rsidRPr="008739B9">
        <w:t xml:space="preserve"> has introduced a new platform for </w:t>
      </w:r>
      <w:r w:rsidR="009F5367" w:rsidRPr="008739B9">
        <w:t xml:space="preserve">releasing cloud seeding agents and collection </w:t>
      </w:r>
      <w:r w:rsidR="00DB5A14" w:rsidRPr="008739B9">
        <w:t xml:space="preserve">atmospheric data </w:t>
      </w:r>
      <w:r w:rsidRPr="008739B9">
        <w:t xml:space="preserve">within </w:t>
      </w:r>
      <w:r w:rsidR="0090395B" w:rsidRPr="008739B9">
        <w:t>the boundary layer</w:t>
      </w:r>
      <w:r w:rsidR="007D46AF" w:rsidRPr="008739B9">
        <w:t xml:space="preserve">. </w:t>
      </w:r>
      <w:r w:rsidR="00FD66F4">
        <w:fldChar w:fldCharType="begin"/>
      </w:r>
      <w:r w:rsidR="00FD66F4">
        <w:instrText xml:space="preserve"> REF _Ref150820265 \h </w:instrText>
      </w:r>
      <w:r w:rsidR="00FD66F4">
        <w:fldChar w:fldCharType="separate"/>
      </w:r>
      <w:r w:rsidR="0010654D">
        <w:t xml:space="preserve">Figure </w:t>
      </w:r>
      <w:r w:rsidR="0010654D">
        <w:rPr>
          <w:noProof/>
        </w:rPr>
        <w:t>1</w:t>
      </w:r>
      <w:r w:rsidR="00FD66F4">
        <w:fldChar w:fldCharType="end"/>
      </w:r>
      <w:r w:rsidR="0052118E" w:rsidRPr="008739B9">
        <w:t xml:space="preserve"> </w:t>
      </w:r>
      <w:r w:rsidR="009F5367" w:rsidRPr="008739B9">
        <w:t xml:space="preserve">depicts </w:t>
      </w:r>
      <w:r w:rsidR="0052118E" w:rsidRPr="008739B9">
        <w:t xml:space="preserve">an idealized </w:t>
      </w:r>
      <w:r w:rsidR="008C3BF7">
        <w:t>s</w:t>
      </w:r>
      <w:r w:rsidR="00803AF9">
        <w:t xml:space="preserve">mall </w:t>
      </w:r>
      <w:r w:rsidR="008C3BF7">
        <w:t xml:space="preserve">UAS </w:t>
      </w:r>
      <w:r w:rsidR="009422A0" w:rsidRPr="008739B9">
        <w:t xml:space="preserve">supercooled </w:t>
      </w:r>
      <w:r w:rsidR="0052118E" w:rsidRPr="008739B9">
        <w:t>fog abatement mission within the</w:t>
      </w:r>
      <w:r w:rsidR="00A651DF" w:rsidRPr="008739B9">
        <w:t xml:space="preserve"> Red River Valley </w:t>
      </w:r>
      <w:r w:rsidR="004225A7" w:rsidRPr="008739B9">
        <w:t>using</w:t>
      </w:r>
      <w:r w:rsidR="0052118E" w:rsidRPr="008739B9">
        <w:t xml:space="preserve"> </w:t>
      </w:r>
      <w:r w:rsidR="00954E6A" w:rsidRPr="008739B9">
        <w:t>an Unmanned Aircraft Vehicle (UAV)</w:t>
      </w:r>
      <w:r w:rsidR="0052118E" w:rsidRPr="008739B9">
        <w:t>. The UA</w:t>
      </w:r>
      <w:r w:rsidR="00954E6A" w:rsidRPr="008739B9">
        <w:t>V</w:t>
      </w:r>
      <w:r w:rsidR="0052118E" w:rsidRPr="008739B9">
        <w:t xml:space="preserve"> flies</w:t>
      </w:r>
      <w:r w:rsidR="009422A0" w:rsidRPr="008739B9">
        <w:t xml:space="preserve"> </w:t>
      </w:r>
      <w:r w:rsidR="0007204A" w:rsidRPr="008739B9">
        <w:t xml:space="preserve">upwind of an airport runway and just below the top of the fog layer, </w:t>
      </w:r>
      <w:r w:rsidR="008F1D53" w:rsidRPr="008739B9">
        <w:t xml:space="preserve">releasing seeding material to initiate ice crystal growth through heterogeneous nucleation. Downwind of the </w:t>
      </w:r>
      <w:r w:rsidR="008F1D53" w:rsidRPr="008739B9">
        <w:lastRenderedPageBreak/>
        <w:t xml:space="preserve">injection point, ice crystals grow at the expense of supercooled water droplets until </w:t>
      </w:r>
      <w:r w:rsidR="00F269EB" w:rsidRPr="008739B9">
        <w:t xml:space="preserve">collision-coalescence processes occur and </w:t>
      </w:r>
      <w:r w:rsidR="008F1D53" w:rsidRPr="008739B9">
        <w:t xml:space="preserve">gravity-induced fallout </w:t>
      </w:r>
      <w:r w:rsidR="000D6DD3" w:rsidRPr="008739B9">
        <w:t>through the entire depth of the fog commences</w:t>
      </w:r>
      <w:r w:rsidR="0007204A" w:rsidRPr="008739B9">
        <w:t xml:space="preserve">. With </w:t>
      </w:r>
      <w:r w:rsidR="000D6DD3" w:rsidRPr="008739B9">
        <w:t xml:space="preserve">enough </w:t>
      </w:r>
      <w:r w:rsidR="00670598" w:rsidRPr="008739B9">
        <w:t>fallout</w:t>
      </w:r>
      <w:r w:rsidR="000D6DD3" w:rsidRPr="008739B9">
        <w:t xml:space="preserve"> </w:t>
      </w:r>
      <w:r w:rsidR="0007204A" w:rsidRPr="008739B9">
        <w:t xml:space="preserve">surface visibility improves, cloud-base heights rise, and cloud dispersal occurs </w:t>
      </w:r>
      <w:r w:rsidR="003A5DB1" w:rsidRPr="008739B9">
        <w:t xml:space="preserve">through </w:t>
      </w:r>
      <w:r w:rsidR="00DA7922" w:rsidRPr="008739B9">
        <w:t xml:space="preserve">increasing </w:t>
      </w:r>
      <w:r w:rsidR="003A5DB1" w:rsidRPr="008739B9">
        <w:t xml:space="preserve">radiative heating and turbulent mixing. </w:t>
      </w:r>
    </w:p>
    <w:p w14:paraId="5FECD0F3" w14:textId="43C2CCE2" w:rsidR="0021277B" w:rsidRPr="008739B9" w:rsidRDefault="003A5DB1" w:rsidP="008739B9">
      <w:pPr>
        <w:pStyle w:val="TextFormat"/>
      </w:pPr>
      <w:r w:rsidRPr="008739B9">
        <w:t>Th</w:t>
      </w:r>
      <w:r w:rsidR="00705D0E" w:rsidRPr="008739B9">
        <w:t xml:space="preserve">e </w:t>
      </w:r>
      <w:r w:rsidR="009F5367" w:rsidRPr="008739B9">
        <w:t xml:space="preserve">conceptual model </w:t>
      </w:r>
      <w:r w:rsidR="00705D0E" w:rsidRPr="008739B9">
        <w:t xml:space="preserve">in </w:t>
      </w:r>
      <w:r w:rsidR="00FD66F4">
        <w:fldChar w:fldCharType="begin"/>
      </w:r>
      <w:r w:rsidR="00FD66F4">
        <w:instrText xml:space="preserve"> REF _Ref150820265 \h </w:instrText>
      </w:r>
      <w:r w:rsidR="00FD66F4">
        <w:fldChar w:fldCharType="separate"/>
      </w:r>
      <w:r w:rsidR="0010654D">
        <w:t xml:space="preserve">Figure </w:t>
      </w:r>
      <w:r w:rsidR="0010654D">
        <w:rPr>
          <w:noProof/>
        </w:rPr>
        <w:t>1</w:t>
      </w:r>
      <w:r w:rsidR="00FD66F4">
        <w:fldChar w:fldCharType="end"/>
      </w:r>
      <w:r w:rsidR="00705D0E" w:rsidRPr="008739B9">
        <w:t xml:space="preserve"> </w:t>
      </w:r>
      <w:r w:rsidRPr="008739B9">
        <w:t xml:space="preserve">highlights the </w:t>
      </w:r>
      <w:r w:rsidR="00DA7922" w:rsidRPr="008739B9">
        <w:t xml:space="preserve">requirements </w:t>
      </w:r>
      <w:r w:rsidRPr="008739B9">
        <w:t xml:space="preserve">necessary for </w:t>
      </w:r>
      <w:r w:rsidR="00296056" w:rsidRPr="008739B9">
        <w:t xml:space="preserve">a </w:t>
      </w:r>
      <w:r w:rsidR="00A8737F" w:rsidRPr="008739B9">
        <w:t xml:space="preserve">determination </w:t>
      </w:r>
      <w:r w:rsidR="009F5367" w:rsidRPr="008739B9">
        <w:t xml:space="preserve">of </w:t>
      </w:r>
      <w:r w:rsidR="00A8737F" w:rsidRPr="008739B9">
        <w:t xml:space="preserve">the feasibility of </w:t>
      </w:r>
      <w:r w:rsidR="00B94D1E" w:rsidRPr="008739B9">
        <w:t xml:space="preserve">a supercooled </w:t>
      </w:r>
      <w:r w:rsidR="00A8737F" w:rsidRPr="008739B9">
        <w:t>fog abatement</w:t>
      </w:r>
      <w:r w:rsidR="00B94D1E" w:rsidRPr="008739B9">
        <w:t xml:space="preserve"> project</w:t>
      </w:r>
      <w:r w:rsidR="009F5367" w:rsidRPr="008739B9">
        <w:t xml:space="preserve">. </w:t>
      </w:r>
      <w:r w:rsidR="00705D0E" w:rsidRPr="008739B9">
        <w:t xml:space="preserve">The UAS platform must be capable of low visibility and supercooled flight maneuvers </w:t>
      </w:r>
      <w:r w:rsidR="00296056" w:rsidRPr="008739B9">
        <w:t xml:space="preserve">while maintaining operational capacity. Miniaturized instrumentation </w:t>
      </w:r>
      <w:r w:rsidR="00102C36" w:rsidRPr="008739B9">
        <w:t xml:space="preserve">attached to the UAS platform </w:t>
      </w:r>
      <w:r w:rsidR="004D65F4" w:rsidRPr="008739B9">
        <w:t xml:space="preserve">must be </w:t>
      </w:r>
      <w:r w:rsidR="00437739" w:rsidRPr="008739B9">
        <w:t>effective within adverse conditions</w:t>
      </w:r>
      <w:r w:rsidR="00AE2E7E" w:rsidRPr="008739B9">
        <w:t xml:space="preserve">, </w:t>
      </w:r>
      <w:r w:rsidR="00437739" w:rsidRPr="008739B9">
        <w:t>capable of</w:t>
      </w:r>
      <w:r w:rsidR="00102C36" w:rsidRPr="008739B9">
        <w:t xml:space="preserve"> efficient profiling </w:t>
      </w:r>
      <w:r w:rsidR="00954E6A" w:rsidRPr="008739B9">
        <w:t>and subsequent determination of fog top height</w:t>
      </w:r>
      <w:r w:rsidR="00102C36" w:rsidRPr="008739B9">
        <w:t>.</w:t>
      </w:r>
      <w:r w:rsidR="00296056" w:rsidRPr="008739B9">
        <w:t xml:space="preserve"> </w:t>
      </w:r>
      <w:r w:rsidR="00437739" w:rsidRPr="008739B9">
        <w:t>Surface o</w:t>
      </w:r>
      <w:r w:rsidR="00102C36" w:rsidRPr="008739B9">
        <w:t xml:space="preserve">bservations </w:t>
      </w:r>
      <w:r w:rsidR="000D6DD3" w:rsidRPr="008739B9">
        <w:t xml:space="preserve">can provide </w:t>
      </w:r>
      <w:r w:rsidR="00954E6A" w:rsidRPr="008739B9">
        <w:t xml:space="preserve">both </w:t>
      </w:r>
      <w:r w:rsidR="000D6DD3" w:rsidRPr="008739B9">
        <w:t>confirmation and verification of changes in atmospheric conditions during operational procedures</w:t>
      </w:r>
      <w:r w:rsidR="00102C36" w:rsidRPr="008739B9">
        <w:t xml:space="preserve">. </w:t>
      </w:r>
      <w:r w:rsidR="007574AC" w:rsidRPr="008739B9">
        <w:t>Using the Red River Va</w:t>
      </w:r>
      <w:r w:rsidR="005E40E1" w:rsidRPr="008739B9">
        <w:t>lley</w:t>
      </w:r>
      <w:r w:rsidR="007574AC" w:rsidRPr="008739B9">
        <w:t xml:space="preserve"> as the </w:t>
      </w:r>
      <w:r w:rsidR="00AE2E7E" w:rsidRPr="008739B9">
        <w:t xml:space="preserve">target </w:t>
      </w:r>
      <w:r w:rsidR="007574AC" w:rsidRPr="008739B9">
        <w:t>operational area, step</w:t>
      </w:r>
      <w:r w:rsidR="00A651DF" w:rsidRPr="008739B9">
        <w:t>s</w:t>
      </w:r>
      <w:r w:rsidR="007574AC" w:rsidRPr="008739B9">
        <w:t xml:space="preserve"> </w:t>
      </w:r>
      <w:r w:rsidR="00A651DF" w:rsidRPr="008739B9">
        <w:t>to implement</w:t>
      </w:r>
      <w:r w:rsidR="007574AC" w:rsidRPr="008739B9">
        <w:t xml:space="preserve"> </w:t>
      </w:r>
      <w:r w:rsidR="00AE2E7E" w:rsidRPr="008739B9">
        <w:t>an operational program using the UAS platform are as follows</w:t>
      </w:r>
      <w:r w:rsidR="00DA7922" w:rsidRPr="008739B9">
        <w:t>:</w:t>
      </w:r>
    </w:p>
    <w:p w14:paraId="3A3C87E7" w14:textId="3FC6CB6D" w:rsidR="0021277B" w:rsidRPr="008739B9" w:rsidRDefault="00620CDC" w:rsidP="008739B9">
      <w:pPr>
        <w:pStyle w:val="Bullet-TextFormat"/>
      </w:pPr>
      <w:r w:rsidRPr="008739B9">
        <w:t>Production of</w:t>
      </w:r>
      <w:r w:rsidR="00DA7922" w:rsidRPr="008739B9">
        <w:t xml:space="preserve"> a detailed fog climatology </w:t>
      </w:r>
      <w:r w:rsidR="005F1A58" w:rsidRPr="008739B9">
        <w:t>to</w:t>
      </w:r>
      <w:r w:rsidR="00DA7922" w:rsidRPr="008739B9">
        <w:t xml:space="preserve"> understand </w:t>
      </w:r>
      <w:r w:rsidR="000126F5" w:rsidRPr="008739B9">
        <w:t>patterns</w:t>
      </w:r>
      <w:r w:rsidR="00DA7922" w:rsidRPr="008739B9">
        <w:t xml:space="preserve"> of fog </w:t>
      </w:r>
      <w:r w:rsidR="000126F5" w:rsidRPr="008739B9">
        <w:t>occurrence and extent</w:t>
      </w:r>
      <w:r w:rsidR="005E40E1" w:rsidRPr="008739B9">
        <w:t xml:space="preserve">, which provides </w:t>
      </w:r>
      <w:r w:rsidR="008D73AA" w:rsidRPr="008739B9">
        <w:t xml:space="preserve">information </w:t>
      </w:r>
      <w:r w:rsidRPr="008739B9">
        <w:t>on</w:t>
      </w:r>
      <w:r w:rsidR="008D73AA" w:rsidRPr="008739B9">
        <w:t xml:space="preserve"> operational </w:t>
      </w:r>
      <w:r w:rsidR="001B7D28" w:rsidRPr="008739B9">
        <w:t xml:space="preserve">project </w:t>
      </w:r>
      <w:r w:rsidR="008D73AA" w:rsidRPr="008739B9">
        <w:t>period</w:t>
      </w:r>
      <w:r w:rsidRPr="008739B9">
        <w:t>(s)</w:t>
      </w:r>
      <w:r w:rsidR="001B7D28" w:rsidRPr="008739B9">
        <w:t>.</w:t>
      </w:r>
    </w:p>
    <w:p w14:paraId="45C53235" w14:textId="6414BE37" w:rsidR="00432DFC" w:rsidRPr="008739B9" w:rsidRDefault="0046633C" w:rsidP="008739B9">
      <w:pPr>
        <w:pStyle w:val="Bullet-TextFormat"/>
      </w:pPr>
      <w:r>
        <w:t>Selecting</w:t>
      </w:r>
      <w:r w:rsidR="008C3BF7">
        <w:t xml:space="preserve"> </w:t>
      </w:r>
      <w:r w:rsidR="00157741">
        <w:t xml:space="preserve">an </w:t>
      </w:r>
      <w:r w:rsidR="008C3BF7">
        <w:t>Unmanned Aircraft Vehicle (UAV)</w:t>
      </w:r>
      <w:r w:rsidR="00432DFC" w:rsidRPr="008739B9">
        <w:t xml:space="preserve"> capable of maneuvers within low-visibility and supercooled </w:t>
      </w:r>
      <w:r w:rsidR="00620CDC" w:rsidRPr="008739B9">
        <w:t>conditions.</w:t>
      </w:r>
    </w:p>
    <w:p w14:paraId="308786DF" w14:textId="2B60EB8E" w:rsidR="0021277B" w:rsidRPr="008739B9" w:rsidRDefault="00D831AB" w:rsidP="008739B9">
      <w:pPr>
        <w:pStyle w:val="Bullet-TextFormat"/>
      </w:pPr>
      <w:r w:rsidRPr="008739B9">
        <w:t>Obtain FAA-approv</w:t>
      </w:r>
      <w:r w:rsidR="00432DFC" w:rsidRPr="008739B9">
        <w:t>al</w:t>
      </w:r>
      <w:r w:rsidRPr="008739B9">
        <w:t xml:space="preserve"> </w:t>
      </w:r>
      <w:r w:rsidR="00AB704A" w:rsidRPr="008739B9">
        <w:t>for operations of a UA</w:t>
      </w:r>
      <w:r w:rsidR="00A651DF" w:rsidRPr="008739B9">
        <w:t>S</w:t>
      </w:r>
      <w:r w:rsidR="00AB704A" w:rsidRPr="008739B9">
        <w:t xml:space="preserve"> that can release seeding material from the surface to the top of the fog layer.</w:t>
      </w:r>
    </w:p>
    <w:p w14:paraId="4DB903EA" w14:textId="7033351C" w:rsidR="0021277B" w:rsidRPr="008739B9" w:rsidRDefault="00AB704A" w:rsidP="008739B9">
      <w:pPr>
        <w:pStyle w:val="Bullet-TextFormat"/>
      </w:pPr>
      <w:r w:rsidRPr="008739B9">
        <w:t xml:space="preserve">Produce a detailed operational plan for conducting the project; ideally, with a research component for assessing </w:t>
      </w:r>
      <w:r w:rsidR="00255F46" w:rsidRPr="008739B9">
        <w:t>efficacy of operations</w:t>
      </w:r>
      <w:r w:rsidRPr="008739B9">
        <w:t>.</w:t>
      </w:r>
    </w:p>
    <w:p w14:paraId="173DEE58" w14:textId="7789606A" w:rsidR="0021277B" w:rsidRPr="008739B9" w:rsidRDefault="00255F46" w:rsidP="008739B9">
      <w:pPr>
        <w:pStyle w:val="Bullet-TextFormat"/>
      </w:pPr>
      <w:r w:rsidRPr="008739B9">
        <w:t>Conduct a</w:t>
      </w:r>
      <w:r w:rsidR="00A651DF" w:rsidRPr="008739B9">
        <w:t>n</w:t>
      </w:r>
      <w:r w:rsidRPr="008739B9">
        <w:t xml:space="preserve"> operational field project.</w:t>
      </w:r>
    </w:p>
    <w:p w14:paraId="78981AB4" w14:textId="73FD6E69" w:rsidR="00240D9C" w:rsidRDefault="00255F46" w:rsidP="00240D9C">
      <w:pPr>
        <w:pStyle w:val="Bullet-TextFormat"/>
      </w:pPr>
      <w:r w:rsidRPr="008739B9">
        <w:t>Evaluate operations</w:t>
      </w:r>
      <w:r w:rsidR="00AE2E7E" w:rsidRPr="008739B9">
        <w:t>.</w:t>
      </w:r>
    </w:p>
    <w:p w14:paraId="0E51F66A" w14:textId="76A477B2" w:rsidR="00240D9C" w:rsidRDefault="00240D9C" w:rsidP="00FD66F4">
      <w:pPr>
        <w:pStyle w:val="Figure"/>
      </w:pPr>
      <w:bookmarkStart w:id="7" w:name="_Toc150698137"/>
      <w:bookmarkStart w:id="8" w:name="_Toc150818398"/>
      <w:r w:rsidRPr="00FD66F4">
        <w:lastRenderedPageBreak/>
        <w:drawing>
          <wp:inline distT="0" distB="0" distL="0" distR="0" wp14:anchorId="742C9C94" wp14:editId="67EF6BCE">
            <wp:extent cx="5888736" cy="2459736"/>
            <wp:effectExtent l="0" t="0" r="0" b="0"/>
            <wp:docPr id="759716108" name="Picture 759716108" descr="Diagram of a cloud with snowflakes and arrows&#10;&#10;Description automatically generated with low confidence">
              <a:extLst xmlns:a="http://schemas.openxmlformats.org/drawingml/2006/main">
                <a:ext uri="{FF2B5EF4-FFF2-40B4-BE49-F238E27FC236}">
                  <a16:creationId xmlns:a16="http://schemas.microsoft.com/office/drawing/2014/main" id="{53500CD1-AC7F-ADFB-8550-0E617CD04E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descr="Diagram of a cloud with snowflakes and arrows&#10;&#10;Description automatically generated with low confidence">
                      <a:extLst>
                        <a:ext uri="{FF2B5EF4-FFF2-40B4-BE49-F238E27FC236}">
                          <a16:creationId xmlns:a16="http://schemas.microsoft.com/office/drawing/2014/main" id="{53500CD1-AC7F-ADFB-8550-0E617CD04E93}"/>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888736" cy="2459736"/>
                    </a:xfrm>
                    <a:prstGeom prst="rect">
                      <a:avLst/>
                    </a:prstGeom>
                  </pic:spPr>
                </pic:pic>
              </a:graphicData>
            </a:graphic>
          </wp:inline>
        </w:drawing>
      </w:r>
      <w:bookmarkEnd w:id="7"/>
      <w:bookmarkEnd w:id="8"/>
    </w:p>
    <w:p w14:paraId="1578D00D" w14:textId="2DA252B5" w:rsidR="00C82DA5" w:rsidRDefault="00240D9C" w:rsidP="00C82DA5">
      <w:pPr>
        <w:pStyle w:val="FigureCaption"/>
        <w:rPr>
          <w:i w:val="0"/>
          <w:iCs w:val="0"/>
        </w:rPr>
      </w:pPr>
      <w:bookmarkStart w:id="9" w:name="_Ref150820265"/>
      <w:bookmarkStart w:id="10" w:name="_Toc152692030"/>
      <w:r>
        <w:t xml:space="preserve">Figure </w:t>
      </w:r>
      <w:r w:rsidR="005858A3">
        <w:fldChar w:fldCharType="begin"/>
      </w:r>
      <w:r w:rsidR="005858A3">
        <w:instrText xml:space="preserve"> SEQ Figure \* ARABIC </w:instrText>
      </w:r>
      <w:r w:rsidR="005858A3">
        <w:fldChar w:fldCharType="separate"/>
      </w:r>
      <w:r w:rsidR="00E337FD">
        <w:rPr>
          <w:noProof/>
        </w:rPr>
        <w:t>1</w:t>
      </w:r>
      <w:r w:rsidR="005858A3">
        <w:rPr>
          <w:noProof/>
        </w:rPr>
        <w:fldChar w:fldCharType="end"/>
      </w:r>
      <w:bookmarkStart w:id="11" w:name="_Toc150010609"/>
      <w:bookmarkEnd w:id="9"/>
      <w:r w:rsidRPr="000865E7">
        <w:t>. Image showing the conceptual model for conducting a supercooled fog dispersal project utilizing UAV technology.</w:t>
      </w:r>
      <w:bookmarkEnd w:id="11"/>
      <w:bookmarkEnd w:id="10"/>
      <w:r w:rsidR="00C82DA5">
        <w:br w:type="page"/>
      </w:r>
    </w:p>
    <w:p w14:paraId="05792398" w14:textId="77777777" w:rsidR="00240D9C" w:rsidRPr="008739B9" w:rsidRDefault="00240D9C" w:rsidP="00FD66F4">
      <w:pPr>
        <w:pStyle w:val="FigureCaption"/>
      </w:pPr>
    </w:p>
    <w:p w14:paraId="1DCC61B0" w14:textId="022FD30F" w:rsidR="00E14334" w:rsidRDefault="00E14334" w:rsidP="008739B9">
      <w:pPr>
        <w:pStyle w:val="Heading1"/>
      </w:pPr>
      <w:bookmarkStart w:id="12" w:name="_Toc152692010"/>
      <w:r>
        <w:t xml:space="preserve">CHAPTER II: </w:t>
      </w:r>
      <w:r w:rsidR="00D7467D">
        <w:t>INSTRUMENTATION</w:t>
      </w:r>
      <w:r w:rsidR="005858D2">
        <w:t xml:space="preserve"> AND DATA</w:t>
      </w:r>
      <w:bookmarkEnd w:id="12"/>
    </w:p>
    <w:p w14:paraId="4E68B73B" w14:textId="4146279A" w:rsidR="00AE2EC7" w:rsidRPr="003A7E1B" w:rsidRDefault="00AE2EC7" w:rsidP="003A7E1B">
      <w:pPr>
        <w:pStyle w:val="Heading3"/>
      </w:pPr>
      <w:bookmarkStart w:id="13" w:name="_Toc152692011"/>
      <w:r w:rsidRPr="003A7E1B">
        <w:t>IMet-XQ2</w:t>
      </w:r>
      <w:bookmarkEnd w:id="13"/>
    </w:p>
    <w:p w14:paraId="6912A74C" w14:textId="5E74976A" w:rsidR="00164429" w:rsidRPr="008739B9" w:rsidRDefault="00164429" w:rsidP="008739B9">
      <w:pPr>
        <w:pStyle w:val="TextFormat"/>
      </w:pPr>
      <w:r w:rsidRPr="008739B9">
        <w:t>The IMet-XQ2 is a second-generation</w:t>
      </w:r>
      <w:r w:rsidR="00954E6A" w:rsidRPr="008739B9">
        <w:t xml:space="preserve"> </w:t>
      </w:r>
      <w:r w:rsidR="00355A95" w:rsidRPr="008739B9">
        <w:t xml:space="preserve">instrument for </w:t>
      </w:r>
      <w:r w:rsidR="004C51FA" w:rsidRPr="008739B9">
        <w:t>standard</w:t>
      </w:r>
      <w:r w:rsidRPr="008739B9">
        <w:t xml:space="preserve"> atmospheric</w:t>
      </w:r>
      <w:r w:rsidR="00355A95" w:rsidRPr="008739B9">
        <w:t xml:space="preserve"> parameter measurements</w:t>
      </w:r>
      <w:r w:rsidRPr="008739B9">
        <w:t xml:space="preserve"> </w:t>
      </w:r>
      <w:r w:rsidR="000D6DD3" w:rsidRPr="008739B9">
        <w:t>created</w:t>
      </w:r>
      <w:r w:rsidRPr="008739B9">
        <w:t xml:space="preserve"> by International Met Systems. The IMet-XQ2 is designed to be a UAS</w:t>
      </w:r>
      <w:r w:rsidR="00355A95" w:rsidRPr="008739B9">
        <w:t xml:space="preserve"> component that provides</w:t>
      </w:r>
      <w:r w:rsidRPr="008739B9">
        <w:t xml:space="preserve"> high-resolution, boundary-layer profiles with radiosonde-quality sensors </w:t>
      </w:r>
      <w:r w:rsidR="00355A95" w:rsidRPr="008739B9">
        <w:t>which</w:t>
      </w:r>
      <w:r w:rsidRPr="008739B9">
        <w:t xml:space="preserve"> measure temperature, relative humidity, pressure, and position (Table 1). The bead thermistor temperature sensor consists of a resistor whose resistance is strongly dependent on temperature. Proper aspiration is required for accurate measurement and efficient response times. The capacitive humidity sensor emits an electromagnetic field that is sensitive to changes in ambient relative humidity. Response time of the humidity sensor increases dramatically with decreasing temperature, particularly with temperatures below freezing. Data sampling for the IMet-XQ2 sensor package occurs every second. An internal flash drive houses fifteen hours of data capacity with a rechargeable battery life of five hours. </w:t>
      </w:r>
      <w:r w:rsidR="00CF70BA">
        <w:t xml:space="preserve">Data </w:t>
      </w:r>
      <w:r w:rsidR="00254966">
        <w:t xml:space="preserve">can be acquired through </w:t>
      </w:r>
      <w:r w:rsidRPr="008739B9">
        <w:t>USB serial data transmission</w:t>
      </w:r>
      <w:r w:rsidR="00254966">
        <w:t xml:space="preserve"> (Raspberry Pi 4B) and </w:t>
      </w:r>
      <w:r w:rsidRPr="008739B9">
        <w:t xml:space="preserve">through the </w:t>
      </w:r>
      <w:proofErr w:type="spellStart"/>
      <w:r w:rsidRPr="008739B9">
        <w:t>IMet</w:t>
      </w:r>
      <w:proofErr w:type="spellEnd"/>
      <w:r w:rsidRPr="008739B9">
        <w:t xml:space="preserve">-X Control software interface. </w:t>
      </w:r>
    </w:p>
    <w:p w14:paraId="0BA8F02B" w14:textId="0AD23400" w:rsidR="00164429" w:rsidRPr="00855B49" w:rsidRDefault="00164429">
      <w:pPr>
        <w:pStyle w:val="TableCaption"/>
      </w:pPr>
      <w:bookmarkStart w:id="14" w:name="_Ref150685179"/>
      <w:bookmarkStart w:id="15" w:name="_Toc150784678"/>
      <w:bookmarkStart w:id="16" w:name="_Toc150826339"/>
      <w:bookmarkStart w:id="17" w:name="_Toc152692069"/>
      <w:r w:rsidRPr="008739B9">
        <w:t xml:space="preserve">Table </w:t>
      </w:r>
      <w:r w:rsidR="005858A3">
        <w:fldChar w:fldCharType="begin"/>
      </w:r>
      <w:r w:rsidR="005858A3">
        <w:instrText xml:space="preserve"> SEQ Table \* ARABIC </w:instrText>
      </w:r>
      <w:r w:rsidR="005858A3">
        <w:fldChar w:fldCharType="separate"/>
      </w:r>
      <w:r w:rsidR="0010654D">
        <w:rPr>
          <w:noProof/>
        </w:rPr>
        <w:t>1</w:t>
      </w:r>
      <w:r w:rsidR="005858A3">
        <w:rPr>
          <w:noProof/>
        </w:rPr>
        <w:fldChar w:fldCharType="end"/>
      </w:r>
      <w:bookmarkEnd w:id="14"/>
      <w:r w:rsidRPr="008739B9">
        <w:t xml:space="preserve">. Table </w:t>
      </w:r>
      <w:r w:rsidR="00133DEC">
        <w:t>listing</w:t>
      </w:r>
      <w:r w:rsidR="00133DEC" w:rsidRPr="008739B9">
        <w:t xml:space="preserve"> </w:t>
      </w:r>
      <w:r w:rsidRPr="008739B9">
        <w:t>the IMet-XQ2 sensor specifications. Note that the</w:t>
      </w:r>
      <w:r w:rsidR="00B53639" w:rsidRPr="008739B9">
        <w:t xml:space="preserve"> r</w:t>
      </w:r>
      <w:r w:rsidRPr="008739B9">
        <w:t>esponse time of the temperature and relative humidity sensors are contingent on a minimum of 5 m/s of airflow. The range of response times for the humidity sensor is temperature dependent: 0.6 seconds at 25 °C, 5.2 seconds at 5 °C, and 10.9 seconds at -10 °C. Accuracy for the GPS sensor is measured in the vertical.</w:t>
      </w:r>
      <w:bookmarkEnd w:id="15"/>
      <w:bookmarkEnd w:id="16"/>
      <w:bookmarkEnd w:id="17"/>
    </w:p>
    <w:tbl>
      <w:tblPr>
        <w:tblpPr w:leftFromText="2880" w:rightFromText="2880" w:bottomFromText="288" w:vertAnchor="text" w:tblpXSpec="center" w:tblpY="1"/>
        <w:tblOverlap w:val="never"/>
        <w:tblW w:w="9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74"/>
        <w:gridCol w:w="1866"/>
        <w:gridCol w:w="775"/>
        <w:gridCol w:w="1010"/>
        <w:gridCol w:w="1240"/>
        <w:gridCol w:w="1190"/>
        <w:gridCol w:w="1625"/>
      </w:tblGrid>
      <w:tr w:rsidR="005233E0" w:rsidRPr="00092EE3" w14:paraId="3E1E828A" w14:textId="77777777" w:rsidTr="00092EE3">
        <w:trPr>
          <w:trHeight w:val="261"/>
        </w:trPr>
        <w:tc>
          <w:tcPr>
            <w:tcW w:w="1674" w:type="dxa"/>
            <w:shd w:val="clear" w:color="auto" w:fill="F2F2F2" w:themeFill="background1" w:themeFillShade="F2"/>
            <w:noWrap/>
            <w:vAlign w:val="center"/>
            <w:hideMark/>
          </w:tcPr>
          <w:p w14:paraId="4C00FD38" w14:textId="77777777" w:rsidR="005233E0" w:rsidRPr="00092EE3" w:rsidRDefault="005233E0" w:rsidP="00092EE3">
            <w:pPr>
              <w:pStyle w:val="Table"/>
              <w:framePr w:hSpace="0" w:wrap="auto" w:vAnchor="margin" w:xAlign="left" w:yAlign="inline"/>
              <w:suppressOverlap w:val="0"/>
              <w:jc w:val="center"/>
            </w:pPr>
            <w:r w:rsidRPr="00092EE3">
              <w:t>Measurement</w:t>
            </w:r>
          </w:p>
        </w:tc>
        <w:tc>
          <w:tcPr>
            <w:tcW w:w="1866" w:type="dxa"/>
            <w:shd w:val="clear" w:color="auto" w:fill="F2F2F2" w:themeFill="background1" w:themeFillShade="F2"/>
            <w:vAlign w:val="center"/>
            <w:hideMark/>
          </w:tcPr>
          <w:p w14:paraId="5CFF23F6" w14:textId="77777777" w:rsidR="005233E0" w:rsidRPr="00092EE3" w:rsidRDefault="005233E0" w:rsidP="00092EE3">
            <w:pPr>
              <w:pStyle w:val="Table"/>
              <w:framePr w:hSpace="0" w:wrap="auto" w:vAnchor="margin" w:xAlign="left" w:yAlign="inline"/>
              <w:suppressOverlap w:val="0"/>
              <w:jc w:val="center"/>
            </w:pPr>
            <w:r w:rsidRPr="00092EE3">
              <w:t>Sensor</w:t>
            </w:r>
          </w:p>
        </w:tc>
        <w:tc>
          <w:tcPr>
            <w:tcW w:w="1785" w:type="dxa"/>
            <w:gridSpan w:val="2"/>
            <w:shd w:val="clear" w:color="auto" w:fill="F2F2F2" w:themeFill="background1" w:themeFillShade="F2"/>
            <w:vAlign w:val="center"/>
            <w:hideMark/>
          </w:tcPr>
          <w:p w14:paraId="43136D4F" w14:textId="77777777" w:rsidR="005233E0" w:rsidRPr="00092EE3" w:rsidRDefault="005233E0" w:rsidP="00092EE3">
            <w:pPr>
              <w:pStyle w:val="Table"/>
              <w:framePr w:hSpace="0" w:wrap="auto" w:vAnchor="margin" w:xAlign="left" w:yAlign="inline"/>
              <w:suppressOverlap w:val="0"/>
              <w:jc w:val="center"/>
            </w:pPr>
            <w:r w:rsidRPr="00092EE3">
              <w:t>Range</w:t>
            </w:r>
          </w:p>
        </w:tc>
        <w:tc>
          <w:tcPr>
            <w:tcW w:w="1240" w:type="dxa"/>
            <w:shd w:val="clear" w:color="auto" w:fill="F2F2F2" w:themeFill="background1" w:themeFillShade="F2"/>
            <w:vAlign w:val="center"/>
            <w:hideMark/>
          </w:tcPr>
          <w:p w14:paraId="5B553A7A" w14:textId="77777777" w:rsidR="005233E0" w:rsidRPr="00092EE3" w:rsidRDefault="005233E0" w:rsidP="00092EE3">
            <w:pPr>
              <w:pStyle w:val="Table"/>
              <w:framePr w:hSpace="0" w:wrap="auto" w:vAnchor="margin" w:xAlign="left" w:yAlign="inline"/>
              <w:suppressOverlap w:val="0"/>
              <w:jc w:val="center"/>
            </w:pPr>
            <w:r w:rsidRPr="00092EE3">
              <w:t>Accuracy</w:t>
            </w:r>
          </w:p>
        </w:tc>
        <w:tc>
          <w:tcPr>
            <w:tcW w:w="1190" w:type="dxa"/>
            <w:shd w:val="clear" w:color="auto" w:fill="F2F2F2" w:themeFill="background1" w:themeFillShade="F2"/>
            <w:vAlign w:val="center"/>
            <w:hideMark/>
          </w:tcPr>
          <w:p w14:paraId="6FB13ECC" w14:textId="77777777" w:rsidR="005233E0" w:rsidRPr="00092EE3" w:rsidRDefault="005233E0" w:rsidP="00092EE3">
            <w:pPr>
              <w:pStyle w:val="Table"/>
              <w:framePr w:hSpace="0" w:wrap="auto" w:vAnchor="margin" w:xAlign="left" w:yAlign="inline"/>
              <w:suppressOverlap w:val="0"/>
              <w:jc w:val="center"/>
            </w:pPr>
            <w:r w:rsidRPr="00092EE3">
              <w:t>Resolution</w:t>
            </w:r>
          </w:p>
        </w:tc>
        <w:tc>
          <w:tcPr>
            <w:tcW w:w="1625" w:type="dxa"/>
            <w:shd w:val="clear" w:color="auto" w:fill="F2F2F2" w:themeFill="background1" w:themeFillShade="F2"/>
            <w:vAlign w:val="center"/>
            <w:hideMark/>
          </w:tcPr>
          <w:p w14:paraId="7DC30833" w14:textId="77777777" w:rsidR="005233E0" w:rsidRPr="00092EE3" w:rsidRDefault="005233E0" w:rsidP="00092EE3">
            <w:pPr>
              <w:pStyle w:val="Table"/>
              <w:framePr w:hSpace="0" w:wrap="auto" w:vAnchor="margin" w:xAlign="left" w:yAlign="inline"/>
              <w:suppressOverlap w:val="0"/>
              <w:jc w:val="center"/>
            </w:pPr>
            <w:r w:rsidRPr="00092EE3">
              <w:t>Response</w:t>
            </w:r>
          </w:p>
        </w:tc>
      </w:tr>
      <w:tr w:rsidR="005233E0" w:rsidRPr="00092EE3" w14:paraId="31B7B1F3" w14:textId="77777777" w:rsidTr="00092EE3">
        <w:trPr>
          <w:trHeight w:val="288"/>
        </w:trPr>
        <w:tc>
          <w:tcPr>
            <w:tcW w:w="1674" w:type="dxa"/>
            <w:shd w:val="clear" w:color="auto" w:fill="auto"/>
            <w:noWrap/>
            <w:vAlign w:val="bottom"/>
            <w:hideMark/>
          </w:tcPr>
          <w:p w14:paraId="3382C545" w14:textId="77777777" w:rsidR="005233E0" w:rsidRPr="00092EE3" w:rsidRDefault="005233E0" w:rsidP="00092EE3">
            <w:pPr>
              <w:pStyle w:val="Table"/>
              <w:framePr w:hSpace="0" w:wrap="auto" w:vAnchor="margin" w:xAlign="left" w:yAlign="inline"/>
              <w:suppressOverlap w:val="0"/>
            </w:pPr>
            <w:r w:rsidRPr="00092EE3">
              <w:t>Temperature</w:t>
            </w:r>
          </w:p>
        </w:tc>
        <w:tc>
          <w:tcPr>
            <w:tcW w:w="1866" w:type="dxa"/>
            <w:shd w:val="clear" w:color="auto" w:fill="auto"/>
            <w:noWrap/>
            <w:vAlign w:val="center"/>
            <w:hideMark/>
          </w:tcPr>
          <w:p w14:paraId="3AD6B970"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Bead Thermistor</w:t>
            </w:r>
          </w:p>
        </w:tc>
        <w:tc>
          <w:tcPr>
            <w:tcW w:w="775" w:type="dxa"/>
            <w:shd w:val="clear" w:color="auto" w:fill="auto"/>
            <w:noWrap/>
            <w:vAlign w:val="center"/>
            <w:hideMark/>
          </w:tcPr>
          <w:p w14:paraId="5A94E191"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-90 °C</w:t>
            </w:r>
          </w:p>
        </w:tc>
        <w:tc>
          <w:tcPr>
            <w:tcW w:w="1010" w:type="dxa"/>
            <w:shd w:val="clear" w:color="auto" w:fill="auto"/>
            <w:noWrap/>
            <w:vAlign w:val="center"/>
            <w:hideMark/>
          </w:tcPr>
          <w:p w14:paraId="1C9E5663"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50 °C</w:t>
            </w:r>
          </w:p>
        </w:tc>
        <w:tc>
          <w:tcPr>
            <w:tcW w:w="1240" w:type="dxa"/>
            <w:shd w:val="clear" w:color="auto" w:fill="auto"/>
            <w:noWrap/>
            <w:vAlign w:val="center"/>
            <w:hideMark/>
          </w:tcPr>
          <w:p w14:paraId="0164DE39"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 0.3 °C</w:t>
            </w:r>
          </w:p>
        </w:tc>
        <w:tc>
          <w:tcPr>
            <w:tcW w:w="1190" w:type="dxa"/>
            <w:shd w:val="clear" w:color="auto" w:fill="auto"/>
            <w:noWrap/>
            <w:vAlign w:val="center"/>
            <w:hideMark/>
          </w:tcPr>
          <w:p w14:paraId="15ADE469"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0.01 °C</w:t>
            </w:r>
          </w:p>
        </w:tc>
        <w:tc>
          <w:tcPr>
            <w:tcW w:w="1625" w:type="dxa"/>
            <w:shd w:val="clear" w:color="auto" w:fill="auto"/>
            <w:noWrap/>
            <w:vAlign w:val="center"/>
            <w:hideMark/>
          </w:tcPr>
          <w:p w14:paraId="4B20505C"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1.0 – 10.0 s</w:t>
            </w:r>
          </w:p>
        </w:tc>
      </w:tr>
      <w:tr w:rsidR="005233E0" w:rsidRPr="00092EE3" w14:paraId="5462FD0F" w14:textId="77777777" w:rsidTr="00092EE3">
        <w:trPr>
          <w:trHeight w:val="288"/>
        </w:trPr>
        <w:tc>
          <w:tcPr>
            <w:tcW w:w="1674" w:type="dxa"/>
            <w:shd w:val="clear" w:color="auto" w:fill="auto"/>
            <w:noWrap/>
            <w:vAlign w:val="bottom"/>
            <w:hideMark/>
          </w:tcPr>
          <w:p w14:paraId="6F32953C" w14:textId="77777777" w:rsidR="005233E0" w:rsidRPr="00092EE3" w:rsidRDefault="005233E0" w:rsidP="00092EE3">
            <w:pPr>
              <w:pStyle w:val="Table"/>
              <w:framePr w:hSpace="0" w:wrap="auto" w:vAnchor="margin" w:xAlign="left" w:yAlign="inline"/>
              <w:suppressOverlap w:val="0"/>
            </w:pPr>
            <w:r w:rsidRPr="00092EE3">
              <w:t>Humidity</w:t>
            </w:r>
          </w:p>
        </w:tc>
        <w:tc>
          <w:tcPr>
            <w:tcW w:w="1866" w:type="dxa"/>
            <w:shd w:val="clear" w:color="auto" w:fill="auto"/>
            <w:noWrap/>
            <w:vAlign w:val="center"/>
            <w:hideMark/>
          </w:tcPr>
          <w:p w14:paraId="02941676"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Capacitive</w:t>
            </w:r>
          </w:p>
        </w:tc>
        <w:tc>
          <w:tcPr>
            <w:tcW w:w="775" w:type="dxa"/>
            <w:shd w:val="clear" w:color="auto" w:fill="auto"/>
            <w:noWrap/>
            <w:vAlign w:val="center"/>
            <w:hideMark/>
          </w:tcPr>
          <w:p w14:paraId="062E637E"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0.0 %</w:t>
            </w:r>
          </w:p>
        </w:tc>
        <w:tc>
          <w:tcPr>
            <w:tcW w:w="1010" w:type="dxa"/>
            <w:shd w:val="clear" w:color="auto" w:fill="auto"/>
            <w:noWrap/>
            <w:vAlign w:val="center"/>
            <w:hideMark/>
          </w:tcPr>
          <w:p w14:paraId="3CAB9C36"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100 %</w:t>
            </w:r>
          </w:p>
        </w:tc>
        <w:tc>
          <w:tcPr>
            <w:tcW w:w="1240" w:type="dxa"/>
            <w:shd w:val="clear" w:color="auto" w:fill="auto"/>
            <w:noWrap/>
            <w:vAlign w:val="center"/>
            <w:hideMark/>
          </w:tcPr>
          <w:p w14:paraId="1E94A05F"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 5 %</w:t>
            </w:r>
          </w:p>
        </w:tc>
        <w:tc>
          <w:tcPr>
            <w:tcW w:w="1190" w:type="dxa"/>
            <w:shd w:val="clear" w:color="auto" w:fill="auto"/>
            <w:noWrap/>
            <w:vAlign w:val="center"/>
            <w:hideMark/>
          </w:tcPr>
          <w:p w14:paraId="46D9221F"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0.1 %</w:t>
            </w:r>
          </w:p>
        </w:tc>
        <w:tc>
          <w:tcPr>
            <w:tcW w:w="1625" w:type="dxa"/>
            <w:shd w:val="clear" w:color="auto" w:fill="auto"/>
            <w:noWrap/>
            <w:vAlign w:val="center"/>
            <w:hideMark/>
          </w:tcPr>
          <w:p w14:paraId="12FECF4A"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0.6 - 10.9 s</w:t>
            </w:r>
          </w:p>
        </w:tc>
      </w:tr>
      <w:tr w:rsidR="005233E0" w:rsidRPr="00092EE3" w14:paraId="26006700" w14:textId="77777777" w:rsidTr="00092EE3">
        <w:trPr>
          <w:trHeight w:val="288"/>
        </w:trPr>
        <w:tc>
          <w:tcPr>
            <w:tcW w:w="1674" w:type="dxa"/>
            <w:shd w:val="clear" w:color="auto" w:fill="auto"/>
            <w:noWrap/>
            <w:vAlign w:val="bottom"/>
            <w:hideMark/>
          </w:tcPr>
          <w:p w14:paraId="7493049C" w14:textId="77777777" w:rsidR="005233E0" w:rsidRPr="00092EE3" w:rsidRDefault="005233E0" w:rsidP="00092EE3">
            <w:pPr>
              <w:pStyle w:val="Table"/>
              <w:framePr w:hSpace="0" w:wrap="auto" w:vAnchor="margin" w:xAlign="left" w:yAlign="inline"/>
              <w:suppressOverlap w:val="0"/>
            </w:pPr>
            <w:r w:rsidRPr="00092EE3">
              <w:t>Pressure</w:t>
            </w:r>
          </w:p>
        </w:tc>
        <w:tc>
          <w:tcPr>
            <w:tcW w:w="1866" w:type="dxa"/>
            <w:shd w:val="clear" w:color="auto" w:fill="auto"/>
            <w:noWrap/>
            <w:vAlign w:val="center"/>
            <w:hideMark/>
          </w:tcPr>
          <w:p w14:paraId="4724BE8C"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Piezoresistive</w:t>
            </w:r>
          </w:p>
        </w:tc>
        <w:tc>
          <w:tcPr>
            <w:tcW w:w="775" w:type="dxa"/>
            <w:shd w:val="clear" w:color="auto" w:fill="auto"/>
            <w:noWrap/>
            <w:vAlign w:val="center"/>
            <w:hideMark/>
          </w:tcPr>
          <w:p w14:paraId="67AECDA9"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 xml:space="preserve">10 </w:t>
            </w:r>
            <w:proofErr w:type="spellStart"/>
            <w:r w:rsidRPr="00092EE3">
              <w:rPr>
                <w:b w:val="0"/>
                <w:bCs w:val="0"/>
              </w:rPr>
              <w:t>hPa</w:t>
            </w:r>
            <w:proofErr w:type="spellEnd"/>
          </w:p>
        </w:tc>
        <w:tc>
          <w:tcPr>
            <w:tcW w:w="1010" w:type="dxa"/>
            <w:shd w:val="clear" w:color="auto" w:fill="auto"/>
            <w:noWrap/>
            <w:vAlign w:val="center"/>
            <w:hideMark/>
          </w:tcPr>
          <w:p w14:paraId="3814AD34"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 xml:space="preserve">1200 </w:t>
            </w:r>
            <w:proofErr w:type="spellStart"/>
            <w:r w:rsidRPr="00092EE3">
              <w:rPr>
                <w:b w:val="0"/>
                <w:bCs w:val="0"/>
              </w:rPr>
              <w:t>hPa</w:t>
            </w:r>
            <w:proofErr w:type="spellEnd"/>
          </w:p>
        </w:tc>
        <w:tc>
          <w:tcPr>
            <w:tcW w:w="1240" w:type="dxa"/>
            <w:shd w:val="clear" w:color="auto" w:fill="auto"/>
            <w:noWrap/>
            <w:vAlign w:val="center"/>
            <w:hideMark/>
          </w:tcPr>
          <w:p w14:paraId="0C457172"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 xml:space="preserve">± 1.5 </w:t>
            </w:r>
            <w:proofErr w:type="spellStart"/>
            <w:r w:rsidRPr="00092EE3">
              <w:rPr>
                <w:b w:val="0"/>
                <w:bCs w:val="0"/>
              </w:rPr>
              <w:t>hPa</w:t>
            </w:r>
            <w:proofErr w:type="spellEnd"/>
          </w:p>
        </w:tc>
        <w:tc>
          <w:tcPr>
            <w:tcW w:w="1190" w:type="dxa"/>
            <w:shd w:val="clear" w:color="auto" w:fill="auto"/>
            <w:noWrap/>
            <w:vAlign w:val="center"/>
            <w:hideMark/>
          </w:tcPr>
          <w:p w14:paraId="5F1DD5D0"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 xml:space="preserve">0.01 </w:t>
            </w:r>
            <w:proofErr w:type="spellStart"/>
            <w:r w:rsidRPr="00092EE3">
              <w:rPr>
                <w:b w:val="0"/>
                <w:bCs w:val="0"/>
              </w:rPr>
              <w:t>hPa</w:t>
            </w:r>
            <w:proofErr w:type="spellEnd"/>
          </w:p>
        </w:tc>
        <w:tc>
          <w:tcPr>
            <w:tcW w:w="1625" w:type="dxa"/>
            <w:shd w:val="clear" w:color="auto" w:fill="auto"/>
            <w:noWrap/>
            <w:vAlign w:val="center"/>
            <w:hideMark/>
          </w:tcPr>
          <w:p w14:paraId="16A07DA2"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0.01 s</w:t>
            </w:r>
          </w:p>
        </w:tc>
      </w:tr>
      <w:tr w:rsidR="005233E0" w:rsidRPr="00092EE3" w14:paraId="16E09E29" w14:textId="77777777" w:rsidTr="00092EE3">
        <w:trPr>
          <w:trHeight w:val="288"/>
        </w:trPr>
        <w:tc>
          <w:tcPr>
            <w:tcW w:w="1674" w:type="dxa"/>
            <w:shd w:val="clear" w:color="auto" w:fill="auto"/>
            <w:noWrap/>
            <w:vAlign w:val="bottom"/>
            <w:hideMark/>
          </w:tcPr>
          <w:p w14:paraId="787C38D9" w14:textId="77777777" w:rsidR="005233E0" w:rsidRPr="00092EE3" w:rsidRDefault="005233E0" w:rsidP="00092EE3">
            <w:pPr>
              <w:pStyle w:val="Table"/>
              <w:framePr w:hSpace="0" w:wrap="auto" w:vAnchor="margin" w:xAlign="left" w:yAlign="inline"/>
              <w:suppressOverlap w:val="0"/>
            </w:pPr>
            <w:r w:rsidRPr="00092EE3">
              <w:t>GPS</w:t>
            </w:r>
          </w:p>
        </w:tc>
        <w:tc>
          <w:tcPr>
            <w:tcW w:w="1866" w:type="dxa"/>
            <w:shd w:val="clear" w:color="auto" w:fill="auto"/>
            <w:noWrap/>
            <w:vAlign w:val="center"/>
            <w:hideMark/>
          </w:tcPr>
          <w:p w14:paraId="509DD278" w14:textId="77777777" w:rsidR="005233E0" w:rsidRPr="00092EE3" w:rsidRDefault="005233E0" w:rsidP="00092EE3">
            <w:pPr>
              <w:pStyle w:val="Table"/>
              <w:framePr w:hSpace="0" w:wrap="auto" w:vAnchor="margin" w:xAlign="left" w:yAlign="inline"/>
              <w:suppressOverlap w:val="0"/>
              <w:jc w:val="right"/>
              <w:rPr>
                <w:b w:val="0"/>
                <w:bCs w:val="0"/>
              </w:rPr>
            </w:pPr>
            <w:proofErr w:type="spellStart"/>
            <w:r w:rsidRPr="00092EE3">
              <w:rPr>
                <w:b w:val="0"/>
                <w:bCs w:val="0"/>
              </w:rPr>
              <w:t>Ublox</w:t>
            </w:r>
            <w:proofErr w:type="spellEnd"/>
            <w:r w:rsidRPr="00092EE3">
              <w:rPr>
                <w:b w:val="0"/>
                <w:bCs w:val="0"/>
              </w:rPr>
              <w:t xml:space="preserve"> CAM-M8</w:t>
            </w:r>
          </w:p>
        </w:tc>
        <w:tc>
          <w:tcPr>
            <w:tcW w:w="775" w:type="dxa"/>
            <w:shd w:val="clear" w:color="auto" w:fill="auto"/>
            <w:noWrap/>
            <w:vAlign w:val="center"/>
            <w:hideMark/>
          </w:tcPr>
          <w:p w14:paraId="51A02653"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0.0 m</w:t>
            </w:r>
          </w:p>
        </w:tc>
        <w:tc>
          <w:tcPr>
            <w:tcW w:w="1010" w:type="dxa"/>
            <w:shd w:val="clear" w:color="auto" w:fill="auto"/>
            <w:noWrap/>
            <w:vAlign w:val="center"/>
            <w:hideMark/>
          </w:tcPr>
          <w:p w14:paraId="07EB2B1A"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50,000 m</w:t>
            </w:r>
          </w:p>
        </w:tc>
        <w:tc>
          <w:tcPr>
            <w:tcW w:w="1240" w:type="dxa"/>
            <w:shd w:val="clear" w:color="auto" w:fill="auto"/>
            <w:noWrap/>
            <w:vAlign w:val="center"/>
            <w:hideMark/>
          </w:tcPr>
          <w:p w14:paraId="63E13BF7"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12 m (vert.)</w:t>
            </w:r>
          </w:p>
        </w:tc>
        <w:tc>
          <w:tcPr>
            <w:tcW w:w="1190" w:type="dxa"/>
            <w:shd w:val="clear" w:color="auto" w:fill="auto"/>
            <w:noWrap/>
            <w:vAlign w:val="center"/>
            <w:hideMark/>
          </w:tcPr>
          <w:p w14:paraId="52C6636C"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2.5 m</w:t>
            </w:r>
          </w:p>
        </w:tc>
        <w:tc>
          <w:tcPr>
            <w:tcW w:w="1625" w:type="dxa"/>
            <w:shd w:val="clear" w:color="auto" w:fill="auto"/>
            <w:noWrap/>
            <w:vAlign w:val="center"/>
            <w:hideMark/>
          </w:tcPr>
          <w:p w14:paraId="1FE10745"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1.0 s</w:t>
            </w:r>
          </w:p>
        </w:tc>
      </w:tr>
    </w:tbl>
    <w:p w14:paraId="2F7320C3" w14:textId="61BA72F5" w:rsidR="00164429" w:rsidRDefault="00164429" w:rsidP="00E444E2">
      <w:pPr>
        <w:pStyle w:val="TextFormat"/>
      </w:pPr>
      <w:r>
        <w:t xml:space="preserve">The first generation </w:t>
      </w:r>
      <w:proofErr w:type="spellStart"/>
      <w:r>
        <w:t>IMet</w:t>
      </w:r>
      <w:proofErr w:type="spellEnd"/>
      <w:r>
        <w:t>-XQ was evaluated by placing instruments at different locations on a rotary wing UAVs (</w:t>
      </w:r>
      <w:r>
        <w:fldChar w:fldCharType="begin"/>
      </w:r>
      <w:r>
        <w:instrText xml:space="preserve"> ADDIN ZOTERO_ITEM CSL_CITATION {"citationID":"WNY2Ogvz","properties":{"formattedCitation":"(Kimball et al. 2020)","plainCitation":"(Kimball et al. 2020)","dontUpdate":true,"noteIndex":0},"citationItems":[{"id":5,"uris":["http://zotero.org/users/local/LzhHb4Ct/items/5S5SIUA7"],"itemData":{"id":5,"type":"article-journal","abstract":"The accuracy and precision of iMET-XQ (InterMET Inc., Grand Rapids, MI, USA) temperature measurements in ten different locations on an off-the shelf rotary-wing unmanned aerial vehicle (rw-UAV) were assessed, as a function of atmospheric conditions. The rw-UAV hovered near an instrumented South Alabama Mesonet tower. The mean ± standard deviation of all the temperature differences between the tower and the ten iMET-XQ sensors for all experiments are −0.23 °C ±0.24 °C. Both the UAV and the environment influence the accuracy and precision of the iMET-XQ temperature measurements. Heat generated by the electronic components within the UAV body has a significant influence on the iMET-XQ temperature measurements, regardless of solar radiation conditions, and is highly dependent on wind direction. Electronic components within the UAV body heat up and can cause sensors downwind from the UAV body to record temperatures that are too warm, even if the sensors are aspirated by propeller wash. iMET-XQ sensors placed on rotor arms not near UAV body heat sources, and properly aspirated by propeller wash, perform well. Measurements from iMET-XQ sensors suspended below the UAV are also accurate. When using an off-the-shelf UAV for atmospheric temperature sensing, the electronic components inside the body of the UAV must be properly located. It is recommended that multiple sensors are placed on the UAV. Sensor redundancy will mitigate data loss in case of malfunction during flight and the identification of poorly performing sensors.","container-title":"Atmosphere","DOI":"10.3390/atmos11060660","ISSN":"2073-4433","issue":"6","language":"en","license":"http://creativecommons.org/licenses/by/3.0/","note":"number: 6\npublisher: Multidisciplinary Digital Publishing Institute","page":"660","source":"www.mdpi.com","title":"Assessing iMET-XQ Performance and Optimal Placement on a Small Off-the-Shelf, Rotary-Wing UAV, as a Function of Atmospheric Conditions","volume":"11","author":[{"family":"Kimball","given":"Sytske K."},{"family":"Montalvo","given":"Carlos J."},{"family":"Mulekar","given":"Madhuri S."}],"issued":{"date-parts":[["2020",6]]}}}],"schema":"https://github.com/citation-style-language/schema/raw/master/csl-citation.json"} </w:instrText>
      </w:r>
      <w:r>
        <w:fldChar w:fldCharType="separate"/>
      </w:r>
      <w:r w:rsidRPr="00B901EE">
        <w:t>Kimball et al. 2020</w:t>
      </w:r>
      <w:r>
        <w:fldChar w:fldCharType="end"/>
      </w:r>
      <w:r>
        <w:t>).  The precision and accuracy of the sensors was found to be best in o</w:t>
      </w:r>
      <w:r w:rsidRPr="002976D4">
        <w:t xml:space="preserve">vercast conditions </w:t>
      </w:r>
      <w:r>
        <w:t>(</w:t>
      </w:r>
      <w:r w:rsidRPr="002976D4">
        <w:t>or locations with minimal direct solar radiation</w:t>
      </w:r>
      <w:r>
        <w:t>) when the s</w:t>
      </w:r>
      <w:r w:rsidRPr="002976D4">
        <w:t xml:space="preserve">ensors </w:t>
      </w:r>
      <w:r>
        <w:lastRenderedPageBreak/>
        <w:t xml:space="preserve">are </w:t>
      </w:r>
      <w:r w:rsidRPr="002976D4">
        <w:t>strongly aspirated by propeller wash</w:t>
      </w:r>
      <w:r>
        <w:t>, d</w:t>
      </w:r>
      <w:r w:rsidRPr="000238DA">
        <w:t xml:space="preserve">isplacement away from heat generated by the main electrical components </w:t>
      </w:r>
      <w:r w:rsidR="004B100D">
        <w:t xml:space="preserve">(rotor arms, batteries) </w:t>
      </w:r>
      <w:r w:rsidRPr="000238DA">
        <w:t>of the UAV</w:t>
      </w:r>
      <w:r>
        <w:t>, and l</w:t>
      </w:r>
      <w:r w:rsidRPr="002976D4">
        <w:t>ocations upwind from the UAV body.</w:t>
      </w:r>
      <w:r>
        <w:t xml:space="preserve"> </w:t>
      </w:r>
      <w:proofErr w:type="spellStart"/>
      <w:r>
        <w:t>IMet</w:t>
      </w:r>
      <w:proofErr w:type="spellEnd"/>
      <w:r>
        <w:t>-XQ sensors attached to the front rotor arms performed best, with locations underneath the body of the UAV also deemed practical. However, sensors underneath the UAV body may be contaminated by heat from the electrical components during ascent maneuvers.</w:t>
      </w:r>
    </w:p>
    <w:p w14:paraId="6EBC9E12" w14:textId="47B0DCB2" w:rsidR="00164429" w:rsidRDefault="00164429" w:rsidP="00E444E2">
      <w:pPr>
        <w:pStyle w:val="TextFormat"/>
      </w:pPr>
      <w:r>
        <w:t xml:space="preserve">As part of the </w:t>
      </w:r>
      <w:r w:rsidR="004B100D">
        <w:t>Lower Atmospheric Profiling Studies at Elevation- a Remotely-piloted Aircraft Team Experiment (</w:t>
      </w:r>
      <w:r>
        <w:t>LAPSE-RATE</w:t>
      </w:r>
      <w:r w:rsidR="004B100D">
        <w:t>)</w:t>
      </w:r>
      <w:r>
        <w:t xml:space="preserve"> flight campaign, </w:t>
      </w:r>
      <w:r>
        <w:fldChar w:fldCharType="begin"/>
      </w:r>
      <w:r>
        <w:instrText xml:space="preserve"> ADDIN ZOTERO_ITEM CSL_CITATION {"citationID":"asbnVBC5","properties":{"formattedCitation":"(Islam et al. 2021)","plainCitation":"(Islam et al. 2021)","dontUpdate":true,"noteIndex":0},"citationItems":[{"id":9,"uris":["http://zotero.org/users/local/LzhHb4Ct/items/F2WF9REB"],"itemData":{"id":9,"type":"article-journal","abstract":"Abstract. This paper describes the data collected by the University of Nebraska-Lincoln (UNL) as part of the field deployments during the Lower Atmospheric Process Studies at Elevation – a Remotely-piloted Aircraft Team Experiment (LAPSE-RATE) flight campaign in July 2018.\nThe UNL deployed two multirotor unmanned aerial systems (UASs) at multiple sites in the San Luis Valley (Colorado, USA) for data collection to support three science missions: convection initiation, boundary layer transition, and cold air drainage flow.\nWe conducted 172 flights resulting in over 21 h of cumulative flight time.\nOur novel design for the sensor housing onboard the UAS was employed in these flights to meet the aspiration and shielding requirements of the temperature and humidity sensors and to separate them from the mixed turbulent airflow from the propellers.\nData presented in this paper include timestamped temperature and humidity data collected from the sensors, along with the three-dimensional position and velocity of the UAS.\nData are quality-controlled and time-synchronized using a zero-order-hold interpolation without additional post-processing.\nThe full dataset is also made available for download at https://doi.org/10.5281/zenodo.4306086 (Islam et al., 2020).","container-title":"Earth System Science Data","DOI":"10.5194/essd-13-2457-2021","ISSN":"1866-3516","issue":"6","journalAbbreviation":"Earth Syst. Sci. Data","language":"en","page":"2457-2470","source":"Semantic Scholar","title":"University of Nebraska unmanned aerial system (UAS) profiling during the LAPSE-RATE field campaign","volume":"13","author":[{"family":"Islam","given":"Ashraful"},{"family":"Shankar","given":"Ajay"},{"family":"Houston","given":"Adam"},{"family":"Detweiler","given":"Carrick"}],"issued":{"date-parts":[["2021",6,2]]}}}],"schema":"https://github.com/citation-style-language/schema/raw/master/csl-citation.json"} </w:instrText>
      </w:r>
      <w:r>
        <w:fldChar w:fldCharType="separate"/>
      </w:r>
      <w:r w:rsidRPr="00D73BC4">
        <w:t xml:space="preserve">Islam et al. </w:t>
      </w:r>
      <w:r>
        <w:t>(</w:t>
      </w:r>
      <w:r w:rsidRPr="00D73BC4">
        <w:t>2021)</w:t>
      </w:r>
      <w:r>
        <w:fldChar w:fldCharType="end"/>
      </w:r>
      <w:r>
        <w:t xml:space="preserve"> created a novel design for the </w:t>
      </w:r>
      <w:proofErr w:type="spellStart"/>
      <w:r>
        <w:t>IMet</w:t>
      </w:r>
      <w:proofErr w:type="spellEnd"/>
      <w:r>
        <w:t xml:space="preserve">-XQ and IMet-XQ2 housings to meet the aspiration and shielding requirements for the temperature and humidity sensors while avoiding mixed turbulent flow from the propeller wash. The housings function as tubes, drawing air passively by utilizing a pressure differential between the outlet just over the propeller and the inlet beyond the rotor wash. Resulting temperature and relative humidity profiles from ascent and descent patterns remained within the sensor uncertainties indicating the successful implementation of the housing. Ascent-descent deviations were related to sensor response times and was problematic for the slower relative humidity sensor. </w:t>
      </w:r>
      <w:r w:rsidR="000C1D54">
        <w:t xml:space="preserve">Therefore, </w:t>
      </w:r>
      <w:r w:rsidR="009155D2">
        <w:t>appropriate</w:t>
      </w:r>
      <w:r>
        <w:t xml:space="preserve"> housing resolves </w:t>
      </w:r>
      <w:r w:rsidR="000C1D54">
        <w:t xml:space="preserve">many of </w:t>
      </w:r>
      <w:r>
        <w:t>the IMet-XQ2</w:t>
      </w:r>
      <w:r w:rsidR="000C1D54">
        <w:t xml:space="preserve"> instrument’s </w:t>
      </w:r>
      <w:r>
        <w:t xml:space="preserve">issues, however sensor response time delays must be corrected and calibrated for representative boundary layer </w:t>
      </w:r>
      <w:r w:rsidR="000C1D54">
        <w:t>conditions</w:t>
      </w:r>
      <w:r>
        <w:t xml:space="preserve">. </w:t>
      </w:r>
    </w:p>
    <w:p w14:paraId="6E9F1BB3" w14:textId="2121C4D4" w:rsidR="00AE2EC7" w:rsidRDefault="00AE2EC7" w:rsidP="003A7E1B">
      <w:pPr>
        <w:pStyle w:val="Heading3"/>
      </w:pPr>
      <w:bookmarkStart w:id="18" w:name="_Toc152692012"/>
      <w:r>
        <w:t>MiniOFS</w:t>
      </w:r>
      <w:bookmarkEnd w:id="18"/>
    </w:p>
    <w:p w14:paraId="55091272" w14:textId="1F8B8F5F" w:rsidR="00164429" w:rsidRDefault="00164429" w:rsidP="00E444E2">
      <w:pPr>
        <w:pStyle w:val="TextFormat"/>
      </w:pPr>
      <w:r>
        <w:t>The MiniOFS is a miniatur</w:t>
      </w:r>
      <w:r w:rsidR="001F003B">
        <w:t>ized</w:t>
      </w:r>
      <w:r>
        <w:t xml:space="preserve"> </w:t>
      </w:r>
      <w:r w:rsidR="009155D2">
        <w:t>instrument</w:t>
      </w:r>
      <w:r>
        <w:t xml:space="preserve"> (</w:t>
      </w:r>
      <w:r w:rsidR="007E13B7">
        <w:fldChar w:fldCharType="begin"/>
      </w:r>
      <w:r w:rsidR="007E13B7">
        <w:instrText xml:space="preserve"> REF _Ref150983488 \h </w:instrText>
      </w:r>
      <w:r w:rsidR="007E13B7">
        <w:fldChar w:fldCharType="separate"/>
      </w:r>
      <w:r w:rsidR="0010654D" w:rsidRPr="009432BC">
        <w:t xml:space="preserve">Table </w:t>
      </w:r>
      <w:r w:rsidR="0010654D">
        <w:rPr>
          <w:noProof/>
        </w:rPr>
        <w:t>2</w:t>
      </w:r>
      <w:r w:rsidR="007E13B7">
        <w:fldChar w:fldCharType="end"/>
      </w:r>
      <w:r>
        <w:t xml:space="preserve">) </w:t>
      </w:r>
      <w:r w:rsidR="00714235">
        <w:t xml:space="preserve">manufactured </w:t>
      </w:r>
      <w:r>
        <w:t xml:space="preserve">by Sten </w:t>
      </w:r>
      <w:proofErr w:type="spellStart"/>
      <w:r>
        <w:t>L</w:t>
      </w:r>
      <w:r>
        <w:rPr>
          <w:rFonts w:ascii="Calibri" w:hAnsi="Calibri" w:cs="Calibri"/>
        </w:rPr>
        <w:t>ö</w:t>
      </w:r>
      <w:r>
        <w:t>fving</w:t>
      </w:r>
      <w:proofErr w:type="spellEnd"/>
      <w:r>
        <w:t xml:space="preserve"> (Optical Sensors, Inc.)</w:t>
      </w:r>
      <w:r w:rsidR="009155D2">
        <w:t xml:space="preserve"> that measures visibility parameters</w:t>
      </w:r>
      <w:r>
        <w:t xml:space="preserve">. The </w:t>
      </w:r>
      <w:r w:rsidR="00043EAB">
        <w:t>MiniOFS</w:t>
      </w:r>
      <w:r w:rsidR="007D2A78">
        <w:t xml:space="preserve"> optical </w:t>
      </w:r>
      <w:r>
        <w:t xml:space="preserve">sensor is sensitive to backscattered light from hydrometeors and particulates in a zone about 25 cm (0.25 m) ahead of the sensor. Analog </w:t>
      </w:r>
      <w:r w:rsidR="007D2A78">
        <w:t xml:space="preserve">voltage </w:t>
      </w:r>
      <w:r>
        <w:t xml:space="preserve">and digital </w:t>
      </w:r>
      <w:r w:rsidR="007D2A78">
        <w:t xml:space="preserve">data </w:t>
      </w:r>
      <w:r w:rsidR="009155D2">
        <w:t>output</w:t>
      </w:r>
      <w:r>
        <w:t xml:space="preserve"> ambient solar irradiance, extinction coefficient, and visibility. The sensitivity of the ambient solar irradiance measurement depends greatly on the orientation relative to the sun. The extinction coefficient and visibility parameters are related by </w:t>
      </w:r>
      <w:r>
        <w:lastRenderedPageBreak/>
        <w:t xml:space="preserve">the relationship </w:t>
      </w:r>
      <m:oMath>
        <m:r>
          <w:rPr>
            <w:rFonts w:ascii="Cambria Math" w:hAnsi="Cambria Math"/>
          </w:rPr>
          <m:t>β=</m:t>
        </m:r>
        <m:f>
          <m:fPr>
            <m:ctrlPr>
              <w:rPr>
                <w:rFonts w:ascii="Cambria Math" w:hAnsi="Cambria Math"/>
                <w:i/>
              </w:rPr>
            </m:ctrlPr>
          </m:fPr>
          <m:num>
            <m:r>
              <w:rPr>
                <w:rFonts w:ascii="Cambria Math" w:hAnsi="Cambria Math"/>
              </w:rPr>
              <m:t>3</m:t>
            </m:r>
          </m:num>
          <m:den>
            <m:r>
              <w:rPr>
                <w:rFonts w:ascii="Cambria Math" w:hAnsi="Cambria Math"/>
              </w:rPr>
              <m:t>Vis</m:t>
            </m:r>
          </m:den>
        </m:f>
      </m:oMath>
      <w:r>
        <w:rPr>
          <w:rFonts w:eastAsiaTheme="minorEastAsia"/>
        </w:rPr>
        <w:t xml:space="preserve">. The </w:t>
      </w:r>
      <w:r>
        <w:t xml:space="preserve">MiniOFS has a maximum visibility </w:t>
      </w:r>
      <w:r>
        <w:rPr>
          <w:rFonts w:eastAsiaTheme="minorEastAsia"/>
        </w:rPr>
        <w:t xml:space="preserve">threshold of 4000 m; however, extinction coefficient can be used to calculate trends in visibilities greater than 4000 m with </w:t>
      </w:r>
      <w:r w:rsidR="007D2A78">
        <w:rPr>
          <w:rFonts w:eastAsiaTheme="minorEastAsia"/>
        </w:rPr>
        <w:t>reduced</w:t>
      </w:r>
      <w:r>
        <w:rPr>
          <w:rFonts w:eastAsiaTheme="minorEastAsia"/>
        </w:rPr>
        <w:t xml:space="preserve"> accuracy. If the optical receiver becomes oversaturated through sunlight, nearby object reflections, or obstructions to the sensor, the visibility will display 5000 m. </w:t>
      </w:r>
      <w:r>
        <w:t xml:space="preserve">To prevent moisture contamination, a membrane ventilator equalizes the ambient pressure with the internal housing while the sensor is heated a few degrees above the ambient temperature. </w:t>
      </w:r>
    </w:p>
    <w:p w14:paraId="34C52BC8" w14:textId="3F66D7CA" w:rsidR="00423601" w:rsidRPr="00423601" w:rsidRDefault="00423601" w:rsidP="00D94DF5">
      <w:pPr>
        <w:pStyle w:val="TableCaption"/>
      </w:pPr>
      <w:bookmarkStart w:id="19" w:name="_Ref150983488"/>
      <w:bookmarkStart w:id="20" w:name="_Toc150784679"/>
      <w:bookmarkStart w:id="21" w:name="_Toc150826340"/>
      <w:bookmarkStart w:id="22" w:name="_Toc152692070"/>
      <w:r w:rsidRPr="009432BC">
        <w:t xml:space="preserve">Table </w:t>
      </w:r>
      <w:r w:rsidR="005858A3">
        <w:fldChar w:fldCharType="begin"/>
      </w:r>
      <w:r w:rsidR="005858A3">
        <w:instrText xml:space="preserve"> SEQ Table \* ARABIC </w:instrText>
      </w:r>
      <w:r w:rsidR="005858A3">
        <w:fldChar w:fldCharType="separate"/>
      </w:r>
      <w:r w:rsidR="0010654D">
        <w:rPr>
          <w:noProof/>
        </w:rPr>
        <w:t>2</w:t>
      </w:r>
      <w:r w:rsidR="005858A3">
        <w:rPr>
          <w:noProof/>
        </w:rPr>
        <w:fldChar w:fldCharType="end"/>
      </w:r>
      <w:bookmarkEnd w:id="19"/>
      <w:r w:rsidRPr="009432BC">
        <w:t>.</w:t>
      </w:r>
      <w:r>
        <w:t xml:space="preserve"> Table indicating the </w:t>
      </w:r>
      <w:r w:rsidRPr="009432BC">
        <w:t xml:space="preserve">MiniOFS Sensor Specifications. Manufacturer recommendations </w:t>
      </w:r>
      <w:r w:rsidRPr="00D94DF5">
        <w:t>suggest</w:t>
      </w:r>
      <w:r w:rsidRPr="009432BC">
        <w:t xml:space="preserve"> a 5-to-10-meter safe zone free of obstructions ahead of the optical receiver.</w:t>
      </w:r>
      <w:bookmarkEnd w:id="20"/>
      <w:bookmarkEnd w:id="21"/>
      <w:bookmarkEnd w:id="22"/>
    </w:p>
    <w:tbl>
      <w:tblPr>
        <w:tblpPr w:leftFromText="1440" w:rightFromText="1440" w:bottomFromText="288" w:vertAnchor="text" w:tblpXSpec="center" w:tblpY="1"/>
        <w:tblOverlap w:val="never"/>
        <w:tblW w:w="6025" w:type="dxa"/>
        <w:tblLook w:val="04A0" w:firstRow="1" w:lastRow="0" w:firstColumn="1" w:lastColumn="0" w:noHBand="0" w:noVBand="1"/>
      </w:tblPr>
      <w:tblGrid>
        <w:gridCol w:w="3685"/>
        <w:gridCol w:w="2340"/>
      </w:tblGrid>
      <w:tr w:rsidR="009C2CD7" w:rsidRPr="009C2CD7" w14:paraId="11A2D6E0" w14:textId="77777777" w:rsidTr="009224D2">
        <w:trPr>
          <w:trHeight w:val="288"/>
        </w:trPr>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5639D6" w14:textId="1D1FFCEE" w:rsidR="009C2CD7" w:rsidRPr="009C2CD7" w:rsidRDefault="009224D2" w:rsidP="00092EE3">
            <w:pPr>
              <w:pStyle w:val="Table"/>
              <w:framePr w:hSpace="0" w:wrap="auto" w:vAnchor="margin" w:xAlign="left" w:yAlign="inline"/>
              <w:suppressOverlap w:val="0"/>
            </w:pPr>
            <w:r>
              <w:t>Analog Output</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596B1" w14:textId="77777777" w:rsidR="009C2CD7" w:rsidRPr="00092EE3" w:rsidRDefault="009C2CD7" w:rsidP="00092EE3">
            <w:pPr>
              <w:pStyle w:val="Table"/>
              <w:framePr w:hSpace="0" w:wrap="auto" w:vAnchor="margin" w:xAlign="left" w:yAlign="inline"/>
              <w:suppressOverlap w:val="0"/>
              <w:jc w:val="right"/>
              <w:rPr>
                <w:b w:val="0"/>
                <w:bCs w:val="0"/>
              </w:rPr>
            </w:pPr>
            <w:r w:rsidRPr="00092EE3">
              <w:rPr>
                <w:b w:val="0"/>
                <w:bCs w:val="0"/>
              </w:rPr>
              <w:t>Analog 0-5 Volt</w:t>
            </w:r>
          </w:p>
        </w:tc>
      </w:tr>
      <w:tr w:rsidR="009224D2" w:rsidRPr="009C2CD7" w14:paraId="7BAC8EAF" w14:textId="77777777" w:rsidTr="009224D2">
        <w:trPr>
          <w:trHeight w:val="288"/>
        </w:trPr>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14:paraId="39D627E0" w14:textId="751498DC" w:rsidR="009224D2" w:rsidRDefault="009224D2" w:rsidP="00092EE3">
            <w:pPr>
              <w:pStyle w:val="Table"/>
              <w:framePr w:hSpace="0" w:wrap="auto" w:vAnchor="margin" w:xAlign="left" w:yAlign="inline"/>
              <w:suppressOverlap w:val="0"/>
            </w:pPr>
            <w:r>
              <w:t>Digital Output</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C4959D" w14:textId="0F6B133E" w:rsidR="009224D2" w:rsidRPr="00092EE3" w:rsidRDefault="009224D2" w:rsidP="00092EE3">
            <w:pPr>
              <w:pStyle w:val="Table"/>
              <w:framePr w:hSpace="0" w:wrap="auto" w:vAnchor="margin" w:xAlign="left" w:yAlign="inline"/>
              <w:suppressOverlap w:val="0"/>
              <w:jc w:val="right"/>
              <w:rPr>
                <w:b w:val="0"/>
                <w:bCs w:val="0"/>
              </w:rPr>
            </w:pPr>
            <w:r>
              <w:rPr>
                <w:b w:val="0"/>
                <w:bCs w:val="0"/>
              </w:rPr>
              <w:t>RS 232</w:t>
            </w:r>
          </w:p>
        </w:tc>
      </w:tr>
      <w:tr w:rsidR="009C2CD7" w:rsidRPr="009C2CD7" w14:paraId="2F14EA86" w14:textId="77777777" w:rsidTr="009224D2">
        <w:trPr>
          <w:trHeight w:val="288"/>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413A8B4C" w14:textId="77777777" w:rsidR="009C2CD7" w:rsidRPr="009C2CD7" w:rsidRDefault="009C2CD7" w:rsidP="00092EE3">
            <w:pPr>
              <w:pStyle w:val="Table"/>
              <w:framePr w:hSpace="0" w:wrap="auto" w:vAnchor="margin" w:xAlign="left" w:yAlign="inline"/>
              <w:suppressOverlap w:val="0"/>
            </w:pPr>
            <w:r w:rsidRPr="009C2CD7">
              <w:t>Update Time</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14:paraId="7DFEB28E" w14:textId="77777777" w:rsidR="009C2CD7" w:rsidRPr="00092EE3" w:rsidRDefault="009C2CD7" w:rsidP="00092EE3">
            <w:pPr>
              <w:pStyle w:val="Table"/>
              <w:framePr w:hSpace="0" w:wrap="auto" w:vAnchor="margin" w:xAlign="left" w:yAlign="inline"/>
              <w:suppressOverlap w:val="0"/>
              <w:jc w:val="right"/>
              <w:rPr>
                <w:b w:val="0"/>
                <w:bCs w:val="0"/>
              </w:rPr>
            </w:pPr>
            <w:r w:rsidRPr="00092EE3">
              <w:rPr>
                <w:b w:val="0"/>
                <w:bCs w:val="0"/>
              </w:rPr>
              <w:t>30 s</w:t>
            </w:r>
          </w:p>
        </w:tc>
      </w:tr>
      <w:tr w:rsidR="009C2CD7" w:rsidRPr="009C2CD7" w14:paraId="7C9C34A8" w14:textId="77777777" w:rsidTr="00092EE3">
        <w:trPr>
          <w:trHeight w:val="288"/>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5075D0C0" w14:textId="77777777" w:rsidR="009C2CD7" w:rsidRPr="009C2CD7" w:rsidRDefault="009C2CD7" w:rsidP="00092EE3">
            <w:pPr>
              <w:pStyle w:val="Table"/>
              <w:framePr w:hSpace="0" w:wrap="auto" w:vAnchor="margin" w:xAlign="left" w:yAlign="inline"/>
              <w:suppressOverlap w:val="0"/>
            </w:pPr>
            <w:r w:rsidRPr="009C2CD7">
              <w:t>Warmup Time</w:t>
            </w:r>
          </w:p>
        </w:tc>
        <w:tc>
          <w:tcPr>
            <w:tcW w:w="2340" w:type="dxa"/>
            <w:tcBorders>
              <w:top w:val="nil"/>
              <w:left w:val="nil"/>
              <w:bottom w:val="single" w:sz="4" w:space="0" w:color="auto"/>
              <w:right w:val="single" w:sz="4" w:space="0" w:color="auto"/>
            </w:tcBorders>
            <w:shd w:val="clear" w:color="auto" w:fill="auto"/>
            <w:noWrap/>
            <w:vAlign w:val="bottom"/>
            <w:hideMark/>
          </w:tcPr>
          <w:p w14:paraId="52D626D2" w14:textId="77777777" w:rsidR="009C2CD7" w:rsidRPr="00092EE3" w:rsidRDefault="009C2CD7" w:rsidP="00092EE3">
            <w:pPr>
              <w:pStyle w:val="Table"/>
              <w:framePr w:hSpace="0" w:wrap="auto" w:vAnchor="margin" w:xAlign="left" w:yAlign="inline"/>
              <w:suppressOverlap w:val="0"/>
              <w:jc w:val="right"/>
              <w:rPr>
                <w:b w:val="0"/>
                <w:bCs w:val="0"/>
              </w:rPr>
            </w:pPr>
            <w:r w:rsidRPr="00092EE3">
              <w:rPr>
                <w:b w:val="0"/>
                <w:bCs w:val="0"/>
              </w:rPr>
              <w:t>60 s</w:t>
            </w:r>
          </w:p>
        </w:tc>
      </w:tr>
      <w:tr w:rsidR="009C2CD7" w:rsidRPr="009C2CD7" w14:paraId="4D347BCD" w14:textId="77777777" w:rsidTr="00092EE3">
        <w:trPr>
          <w:trHeight w:val="288"/>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0F9D003A" w14:textId="77777777" w:rsidR="009C2CD7" w:rsidRPr="009C2CD7" w:rsidRDefault="009C2CD7" w:rsidP="00092EE3">
            <w:pPr>
              <w:pStyle w:val="Table"/>
              <w:framePr w:hSpace="0" w:wrap="auto" w:vAnchor="margin" w:xAlign="left" w:yAlign="inline"/>
              <w:suppressOverlap w:val="0"/>
            </w:pPr>
            <w:r w:rsidRPr="009C2CD7">
              <w:t>Operational Temperature Range</w:t>
            </w:r>
          </w:p>
        </w:tc>
        <w:tc>
          <w:tcPr>
            <w:tcW w:w="2340" w:type="dxa"/>
            <w:tcBorders>
              <w:top w:val="nil"/>
              <w:left w:val="nil"/>
              <w:bottom w:val="single" w:sz="4" w:space="0" w:color="auto"/>
              <w:right w:val="single" w:sz="4" w:space="0" w:color="auto"/>
            </w:tcBorders>
            <w:shd w:val="clear" w:color="auto" w:fill="auto"/>
            <w:noWrap/>
            <w:vAlign w:val="bottom"/>
            <w:hideMark/>
          </w:tcPr>
          <w:p w14:paraId="151E79D4" w14:textId="77777777" w:rsidR="009C2CD7" w:rsidRPr="00092EE3" w:rsidRDefault="009C2CD7" w:rsidP="00092EE3">
            <w:pPr>
              <w:pStyle w:val="Table"/>
              <w:framePr w:hSpace="0" w:wrap="auto" w:vAnchor="margin" w:xAlign="left" w:yAlign="inline"/>
              <w:suppressOverlap w:val="0"/>
              <w:jc w:val="right"/>
              <w:rPr>
                <w:b w:val="0"/>
                <w:bCs w:val="0"/>
              </w:rPr>
            </w:pPr>
            <w:r w:rsidRPr="00092EE3">
              <w:rPr>
                <w:b w:val="0"/>
                <w:bCs w:val="0"/>
              </w:rPr>
              <w:t>-20 °C to +50 °C</w:t>
            </w:r>
          </w:p>
        </w:tc>
      </w:tr>
      <w:tr w:rsidR="009C2CD7" w:rsidRPr="009C2CD7" w14:paraId="6A87A5CA" w14:textId="77777777" w:rsidTr="00092EE3">
        <w:trPr>
          <w:trHeight w:val="288"/>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17E53BE" w14:textId="77777777" w:rsidR="009C2CD7" w:rsidRPr="009C2CD7" w:rsidRDefault="009C2CD7" w:rsidP="00092EE3">
            <w:pPr>
              <w:pStyle w:val="Table"/>
              <w:framePr w:hSpace="0" w:wrap="auto" w:vAnchor="margin" w:xAlign="left" w:yAlign="inline"/>
              <w:suppressOverlap w:val="0"/>
            </w:pPr>
            <w:r w:rsidRPr="009C2CD7">
              <w:t>Visibility Range</w:t>
            </w:r>
          </w:p>
        </w:tc>
        <w:tc>
          <w:tcPr>
            <w:tcW w:w="2340" w:type="dxa"/>
            <w:tcBorders>
              <w:top w:val="nil"/>
              <w:left w:val="nil"/>
              <w:bottom w:val="single" w:sz="4" w:space="0" w:color="auto"/>
              <w:right w:val="single" w:sz="4" w:space="0" w:color="auto"/>
            </w:tcBorders>
            <w:shd w:val="clear" w:color="auto" w:fill="auto"/>
            <w:noWrap/>
            <w:vAlign w:val="bottom"/>
            <w:hideMark/>
          </w:tcPr>
          <w:p w14:paraId="165F8BEC" w14:textId="77777777" w:rsidR="009C2CD7" w:rsidRPr="00092EE3" w:rsidRDefault="009C2CD7" w:rsidP="00092EE3">
            <w:pPr>
              <w:pStyle w:val="Table"/>
              <w:framePr w:hSpace="0" w:wrap="auto" w:vAnchor="margin" w:xAlign="left" w:yAlign="inline"/>
              <w:suppressOverlap w:val="0"/>
              <w:jc w:val="right"/>
              <w:rPr>
                <w:b w:val="0"/>
                <w:bCs w:val="0"/>
              </w:rPr>
            </w:pPr>
            <w:r w:rsidRPr="00092EE3">
              <w:rPr>
                <w:b w:val="0"/>
                <w:bCs w:val="0"/>
              </w:rPr>
              <w:t>20 m to 4000 m</w:t>
            </w:r>
          </w:p>
        </w:tc>
      </w:tr>
      <w:tr w:rsidR="009C2CD7" w:rsidRPr="009C2CD7" w14:paraId="6DD97720" w14:textId="77777777" w:rsidTr="00092EE3">
        <w:trPr>
          <w:trHeight w:val="288"/>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0F0140A" w14:textId="77777777" w:rsidR="009C2CD7" w:rsidRPr="009C2CD7" w:rsidRDefault="009C2CD7" w:rsidP="00092EE3">
            <w:pPr>
              <w:pStyle w:val="Table"/>
              <w:framePr w:hSpace="0" w:wrap="auto" w:vAnchor="margin" w:xAlign="left" w:yAlign="inline"/>
              <w:suppressOverlap w:val="0"/>
            </w:pPr>
            <w:r w:rsidRPr="009C2CD7">
              <w:t>Wavelength</w:t>
            </w:r>
          </w:p>
        </w:tc>
        <w:tc>
          <w:tcPr>
            <w:tcW w:w="2340" w:type="dxa"/>
            <w:tcBorders>
              <w:top w:val="nil"/>
              <w:left w:val="nil"/>
              <w:bottom w:val="single" w:sz="4" w:space="0" w:color="auto"/>
              <w:right w:val="single" w:sz="4" w:space="0" w:color="auto"/>
            </w:tcBorders>
            <w:shd w:val="clear" w:color="auto" w:fill="auto"/>
            <w:noWrap/>
            <w:vAlign w:val="bottom"/>
            <w:hideMark/>
          </w:tcPr>
          <w:p w14:paraId="453DC5C9" w14:textId="77777777" w:rsidR="009C2CD7" w:rsidRPr="00092EE3" w:rsidRDefault="009C2CD7" w:rsidP="00092EE3">
            <w:pPr>
              <w:pStyle w:val="Table"/>
              <w:framePr w:hSpace="0" w:wrap="auto" w:vAnchor="margin" w:xAlign="left" w:yAlign="inline"/>
              <w:suppressOverlap w:val="0"/>
              <w:jc w:val="right"/>
              <w:rPr>
                <w:b w:val="0"/>
                <w:bCs w:val="0"/>
              </w:rPr>
            </w:pPr>
            <w:r w:rsidRPr="00092EE3">
              <w:rPr>
                <w:b w:val="0"/>
                <w:bCs w:val="0"/>
              </w:rPr>
              <w:t>850 nm</w:t>
            </w:r>
          </w:p>
        </w:tc>
      </w:tr>
      <w:tr w:rsidR="009C2CD7" w:rsidRPr="009C2CD7" w14:paraId="26EE7A35" w14:textId="77777777" w:rsidTr="00092EE3">
        <w:trPr>
          <w:trHeight w:val="288"/>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4ABBEEED" w14:textId="77777777" w:rsidR="009C2CD7" w:rsidRPr="009C2CD7" w:rsidRDefault="009C2CD7" w:rsidP="00092EE3">
            <w:pPr>
              <w:pStyle w:val="Table"/>
              <w:framePr w:hSpace="0" w:wrap="auto" w:vAnchor="margin" w:xAlign="left" w:yAlign="inline"/>
              <w:suppressOverlap w:val="0"/>
            </w:pPr>
            <w:r w:rsidRPr="009C2CD7">
              <w:t>Optical Output Power (IR LED)</w:t>
            </w:r>
          </w:p>
        </w:tc>
        <w:tc>
          <w:tcPr>
            <w:tcW w:w="2340" w:type="dxa"/>
            <w:tcBorders>
              <w:top w:val="nil"/>
              <w:left w:val="nil"/>
              <w:bottom w:val="single" w:sz="4" w:space="0" w:color="auto"/>
              <w:right w:val="single" w:sz="4" w:space="0" w:color="auto"/>
            </w:tcBorders>
            <w:shd w:val="clear" w:color="auto" w:fill="auto"/>
            <w:noWrap/>
            <w:vAlign w:val="bottom"/>
            <w:hideMark/>
          </w:tcPr>
          <w:p w14:paraId="26C9CDF2" w14:textId="3425B81B" w:rsidR="009C2CD7" w:rsidRPr="00092EE3" w:rsidRDefault="00092EE3" w:rsidP="00092EE3">
            <w:pPr>
              <w:pStyle w:val="Table"/>
              <w:framePr w:hSpace="0" w:wrap="auto" w:vAnchor="margin" w:xAlign="left" w:yAlign="inline"/>
              <w:suppressOverlap w:val="0"/>
              <w:jc w:val="right"/>
              <w:rPr>
                <w:b w:val="0"/>
                <w:bCs w:val="0"/>
              </w:rPr>
            </w:pPr>
            <m:oMath>
              <m:r>
                <m:rPr>
                  <m:sty m:val="b"/>
                </m:rPr>
                <w:rPr>
                  <w:rFonts w:ascii="Cambria Math" w:hAnsi="Cambria Math"/>
                </w:rPr>
                <m:t>~</m:t>
              </m:r>
            </m:oMath>
            <w:r w:rsidRPr="00092EE3">
              <w:rPr>
                <w:b w:val="0"/>
                <w:bCs w:val="0"/>
              </w:rPr>
              <w:t xml:space="preserve"> </w:t>
            </w:r>
            <w:r w:rsidR="009C2CD7" w:rsidRPr="00092EE3">
              <w:rPr>
                <w:b w:val="0"/>
                <w:bCs w:val="0"/>
              </w:rPr>
              <w:t xml:space="preserve">3 </w:t>
            </w:r>
            <w:proofErr w:type="spellStart"/>
            <w:r w:rsidR="009C2CD7" w:rsidRPr="00092EE3">
              <w:rPr>
                <w:b w:val="0"/>
                <w:bCs w:val="0"/>
              </w:rPr>
              <w:t>mW</w:t>
            </w:r>
            <w:proofErr w:type="spellEnd"/>
            <w:r w:rsidR="009C2CD7" w:rsidRPr="00092EE3">
              <w:rPr>
                <w:b w:val="0"/>
                <w:bCs w:val="0"/>
              </w:rPr>
              <w:t xml:space="preserve"> </w:t>
            </w:r>
          </w:p>
        </w:tc>
      </w:tr>
      <w:tr w:rsidR="009C2CD7" w:rsidRPr="009C2CD7" w14:paraId="631C981D" w14:textId="77777777" w:rsidTr="00092EE3">
        <w:trPr>
          <w:trHeight w:val="288"/>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25D30D0F" w14:textId="77777777" w:rsidR="009C2CD7" w:rsidRPr="009C2CD7" w:rsidRDefault="009C2CD7" w:rsidP="00092EE3">
            <w:pPr>
              <w:pStyle w:val="Table"/>
              <w:framePr w:hSpace="0" w:wrap="auto" w:vAnchor="margin" w:xAlign="left" w:yAlign="inline"/>
              <w:suppressOverlap w:val="0"/>
            </w:pPr>
            <w:r w:rsidRPr="009C2CD7">
              <w:t>Housing</w:t>
            </w:r>
          </w:p>
        </w:tc>
        <w:tc>
          <w:tcPr>
            <w:tcW w:w="2340" w:type="dxa"/>
            <w:tcBorders>
              <w:top w:val="nil"/>
              <w:left w:val="nil"/>
              <w:bottom w:val="single" w:sz="4" w:space="0" w:color="auto"/>
              <w:right w:val="single" w:sz="4" w:space="0" w:color="auto"/>
            </w:tcBorders>
            <w:shd w:val="clear" w:color="auto" w:fill="auto"/>
            <w:noWrap/>
            <w:vAlign w:val="bottom"/>
            <w:hideMark/>
          </w:tcPr>
          <w:p w14:paraId="2CA8CF11" w14:textId="77777777" w:rsidR="009C2CD7" w:rsidRPr="00092EE3" w:rsidRDefault="009C2CD7" w:rsidP="00092EE3">
            <w:pPr>
              <w:pStyle w:val="Table"/>
              <w:framePr w:hSpace="0" w:wrap="auto" w:vAnchor="margin" w:xAlign="left" w:yAlign="inline"/>
              <w:suppressOverlap w:val="0"/>
              <w:jc w:val="right"/>
              <w:rPr>
                <w:b w:val="0"/>
                <w:bCs w:val="0"/>
              </w:rPr>
            </w:pPr>
            <w:r w:rsidRPr="00092EE3">
              <w:rPr>
                <w:b w:val="0"/>
                <w:bCs w:val="0"/>
              </w:rPr>
              <w:t>Anodized Aluminum</w:t>
            </w:r>
          </w:p>
        </w:tc>
      </w:tr>
    </w:tbl>
    <w:p w14:paraId="25CF5112" w14:textId="2E31C310" w:rsidR="00164429" w:rsidRDefault="00164429" w:rsidP="000865E7">
      <w:pPr>
        <w:pStyle w:val="TextFormat"/>
      </w:pPr>
      <w:r w:rsidRPr="000865E7">
        <w:t>While the MiniOFS is a cost-effective visibility sensor, evaluation of the MiniOFS for research is still in its relative infancy. Successful MiniOFS identification of dense fog co</w:t>
      </w:r>
      <w:r w:rsidR="004B100D">
        <w:t>mpared</w:t>
      </w:r>
      <w:r w:rsidRPr="000865E7">
        <w:t xml:space="preserve"> </w:t>
      </w:r>
      <w:r w:rsidR="004B100D">
        <w:t xml:space="preserve">well </w:t>
      </w:r>
      <w:r w:rsidRPr="000865E7">
        <w:t xml:space="preserve">with a Vaisala PWD-11 visibility sensor; however </w:t>
      </w:r>
      <w:r w:rsidR="004B100D">
        <w:t>d</w:t>
      </w:r>
      <w:r w:rsidR="004B100D">
        <w:t>ifferences in sensor design between the MiniOFS (backwards scattering</w:t>
      </w:r>
      <w:r w:rsidR="004B100D">
        <w:t>, lightweight</w:t>
      </w:r>
      <w:r w:rsidR="004B100D">
        <w:t>) and PWD-11 (forward scattering</w:t>
      </w:r>
      <w:r w:rsidR="004B100D">
        <w:t>, heavyweight</w:t>
      </w:r>
      <w:r w:rsidR="004B100D">
        <w:t xml:space="preserve">) </w:t>
      </w:r>
      <w:r w:rsidR="004B100D">
        <w:t>results in MiniOFS overestimation at</w:t>
      </w:r>
      <w:r w:rsidRPr="000865E7">
        <w:t xml:space="preserve"> visibilities below 1 km</w:t>
      </w:r>
      <w:r w:rsidR="000C1D54" w:rsidRPr="000865E7">
        <w:t xml:space="preserve"> (</w:t>
      </w:r>
      <w:r w:rsidRPr="000865E7">
        <w:fldChar w:fldCharType="begin"/>
      </w:r>
      <w:r w:rsidRPr="000865E7">
        <w:instrText xml:space="preserve"> ADDIN ZOTERO_ITEM CSL_CITATION {"citationID":"BWiWfYuU","properties":{"formattedCitation":"(Michna et al. 2013)","plainCitation":"(Michna et al. 2013)","dontUpdate":true,"noteIndex":0},"citationItems":[{"id":151,"uris":["http://zotero.org/users/local/LzhHb4Ct/items/S6W9YJ4P"],"itemData":{"id":151,"type":"article-journal","abstract":"We developed a small version of the Caltech active strand cloud water collector (CASCC) for biogeochemical investigations in ecological applications. The device is battery powered and thus allows operation at locations where mains power is not available. The collector is designed for sampling periods of up to one week, depending on fog frequency. Our new device is equipped with standard sensors for air temperature, relative humidity, wind, and horizontal visibility for fog detection with a low-cost optical sensor. In mountain areas and during times when clouds are thin the installation of the visibility sensor became a key issue, which limits the potential to estimate liquid water content of the sampled fog. Field tests with 5 devices at three different sites in the Swiss Alps (Niesen) and the Jura Mountains (Lägeren, Switzerland) during two extended summer seasons in 2006 and 2007 showed that in almost all cases it was possible to obtain sample volumes which were large enough for the examination of basic inorganic chemistry of the collected cloud water. Collection rates varied typically from 12 to 30mLh−1. The fog droplet cutoff diameter is ≈6μm, which is low enough to include all droplet sizes that are relevant for the liquid water content of typical fog types in the collected samples. From theoretical assumptions of the collection efficiency and theoretical droplet spectra it is possible to estimate the liquid water content of the sampled fog or cloud. Our new fog collector can be constructed and operated at relatively low costs. In combination with chemical and isotopic analyses of the sampled water, this allows to quantify nutrient and pollutant fluxes as is typically needed in ecosystem biogeochemistry studies.","container-title":"Atmospheric Research","DOI":"10.1016/j.atmosres.2013.02.009","ISSN":"0169-8095","journalAbbreviation":"Atmospheric Research","page":"24-34","source":"ScienceDirect","title":"MiniCASCC — A battery driven fog collector for ecosystem research","volume":"128","author":[{"family":"Michna","given":"Pavel"},{"family":"Schenk","given":"Jürg"},{"family":"Werner","given":"Roland A."},{"family":"Eugster","given":"Werner"}],"issued":{"date-parts":[["2013",7,1]]}}}],"schema":"https://github.com/citation-style-language/schema/raw/master/csl-citation.json"} </w:instrText>
      </w:r>
      <w:r w:rsidRPr="000865E7">
        <w:fldChar w:fldCharType="separate"/>
      </w:r>
      <w:r w:rsidRPr="000865E7">
        <w:t>Michna et al. 2013</w:t>
      </w:r>
      <w:r w:rsidRPr="000865E7">
        <w:fldChar w:fldCharType="end"/>
      </w:r>
      <w:r w:rsidR="000C1D54" w:rsidRPr="000865E7">
        <w:t>)</w:t>
      </w:r>
      <w:r w:rsidRPr="000865E7">
        <w:t xml:space="preserve">. Furthermore, light oversaturation and reflection induced numerous sensor malfunctions and needed correction. </w:t>
      </w:r>
      <w:r w:rsidR="00C86282" w:rsidRPr="000865E7">
        <w:t xml:space="preserve">Acting as a visibility sensor for a miniaturized balloon-borne cloud water sampler, </w:t>
      </w:r>
      <w:r w:rsidR="005A73A8" w:rsidRPr="000865E7">
        <w:t xml:space="preserve">a </w:t>
      </w:r>
      <w:r w:rsidR="00C86282" w:rsidRPr="000865E7">
        <w:t>MiniOFS contributed to a 70</w:t>
      </w:r>
      <w:r w:rsidR="00605DE2">
        <w:t xml:space="preserve"> </w:t>
      </w:r>
      <w:r w:rsidR="00C86282" w:rsidRPr="000865E7">
        <w:t>% collection efficiency when using a 500</w:t>
      </w:r>
      <w:r w:rsidR="00605DE2">
        <w:t xml:space="preserve"> m</w:t>
      </w:r>
      <w:r w:rsidR="00C86282" w:rsidRPr="000865E7">
        <w:t xml:space="preserve"> threshold </w:t>
      </w:r>
      <w:r w:rsidR="005A73A8" w:rsidRPr="000865E7">
        <w:fldChar w:fldCharType="begin"/>
      </w:r>
      <w:r w:rsidR="005A73A8" w:rsidRPr="000865E7">
        <w:instrText xml:space="preserve"> ADDIN ZOTERO_ITEM CSL_CITATION {"citationID":"EZriD1fg","properties":{"formattedCitation":"(Zinke et al. 2021)","plainCitation":"(Zinke et al. 2021)","noteIndex":0},"citationItems":[{"id":161,"uris":["http://zotero.org/users/local/LzhHb4Ct/items/LF3NRY68"],"itemData":{"id":161,"type":"article-journal","abstract":"The chemical composition of cloud water can be used to infer the sources of particles upon which cloud droplets and ice crystals have formed. In order to obtain cloud water for analysis of chemical composition for elevated clouds in the pristine high Arctic, balloon-borne active cloud water sampling systems are the optimal approach. However, such systems have not been feasible to deploy previously due to their weight and the challenging environmental conditions. We have taken advantage of recent developments in battery technology to develop a miniaturised cloud water sampler for balloon-borne collection of cloud water. Our sampler is a bulk sampler with a cloud drop cutoff diameter of approximately 8 µm and an estimated collection efficiency of 70%. The sampler was heated to prevent excessive ice accumulation and was able to operate for several hours under the extreme conditions encountered in the high Arctic. We have tested and deployed the new sampler on a tethered balloon during the Microbiology-Ocean-Cloud-Coupling in the High Arctic (MOCCHA) campaign in August and September 2018 close to the North pole. The sampler was able to successfully retrieve cloud water samples that were analysed to determine their chemical composition as well as their ice-nucleating activity. Given the pristine conditions found in the high Arctic we have placed significant emphasis on the development of a suitable cleaning procedure to minimise background contamination by the sampler itself.","container-title":"Tellus B: Chemical and Physical Meteorology","DOI":"10.1080/16000889.2021.1915614","ISSN":"null","issue":"1","note":"publisher: Taylor &amp; Francis\n_eprint: https://doi.org/10.1080/16000889.2021.1915614","page":"1-12","source":"Taylor and Francis+NEJM","title":"The development of a miniaturised balloon-borne cloud water sampler and its first deployment in the high Arctic","volume":"73","author":[{"family":"Zinke","given":"Julika"},{"family":"Salter","given":"Matthew E."},{"family":"Leck","given":"Caroline"},{"family":"Lawler","given":"Michael J."},{"family":"Porter","given":"Grace C. E."},{"family":"Adams","given":"Michael P."},{"family":"Brooks","given":"Ian M."},{"family":"Murray","given":"Benjamin J."},{"family":"Zieger","given":"Paul"}],"issued":{"date-parts":[["2021",1,1]]}}}],"schema":"https://github.com/citation-style-language/schema/raw/master/csl-citation.json"} </w:instrText>
      </w:r>
      <w:r w:rsidR="005A73A8" w:rsidRPr="000865E7">
        <w:fldChar w:fldCharType="separate"/>
      </w:r>
      <w:r w:rsidR="005A73A8" w:rsidRPr="000865E7">
        <w:t>(Zinke et al. 2021)</w:t>
      </w:r>
      <w:r w:rsidR="005A73A8" w:rsidRPr="000865E7">
        <w:fldChar w:fldCharType="end"/>
      </w:r>
      <w:r w:rsidR="00C86282" w:rsidRPr="000865E7">
        <w:t>.</w:t>
      </w:r>
      <w:r w:rsidR="005A73A8" w:rsidRPr="000865E7">
        <w:t xml:space="preserve"> </w:t>
      </w:r>
      <w:r w:rsidR="00177072" w:rsidRPr="000865E7">
        <w:t>A 1000</w:t>
      </w:r>
      <w:r w:rsidR="00605DE2">
        <w:t xml:space="preserve"> m</w:t>
      </w:r>
      <w:r w:rsidR="00177072" w:rsidRPr="000865E7">
        <w:t xml:space="preserve"> threshold was successful in distinguishing dew events from fog events when investigating non-rainfall water </w:t>
      </w:r>
      <w:r w:rsidR="00177072" w:rsidRPr="000865E7">
        <w:fldChar w:fldCharType="begin"/>
      </w:r>
      <w:r w:rsidR="00177072" w:rsidRPr="000865E7">
        <w:instrText xml:space="preserve"> ADDIN ZOTERO_ITEM CSL_CITATION {"citationID":"ybO3VE3E","properties":{"formattedCitation":"(Riedl et al. 2022)","plainCitation":"(Riedl et al. 2022)","noteIndex":0},"citationItems":[{"id":163,"uris":["http://zotero.org/users/local/LzhHb4Ct/items/4DM9FXP2"],"itemData":{"id":163,"type":"article-journal","abstract":"Non-rainfall water (NRW), defined here as dew, hoar frost, fog, rime, and water vapour adsorption, might be a relevant water source for ecosystems, especially during summer drought periods. These water inputs are often not considered in ecohydrological studies, because water amounts of NRW events are rather small and therefore difficult to measure. Here we present a novel micro-lysimeter (ML) system and its application which allows us to quantify very small water inputs from NRW during rain-free periods with an unprecedented high accuracy of ±0.25 g, which corresponds to ±0.005 mm water input. This is possible with an improved ML design paired with individual ML calibrations in combination with high-frequency measurements at 3.3 Hz and an efficient low-pass filtering to reduce noise level. With a set of ancillary sensors, the ML system furthermore allows differentiation between different types of NRW inputs, i.e. dew, hoar frost, fog, rime, and the combinations among these, but also additional events when condensation on leaves is less probable, such as water vapour adsorption events. In addition, our ML system design allows one to minimize deviations from natural conditions in terms of canopy and soil temperatures, plant growth, and soil moisture. This is found to be a crucial aspect for obtaining realistic NRW measurements in short-statured grasslands. Soil temperatures were higher in the ML compared to the control, and thus further studies should focus on improving the thermal soil regime of ML. Our ML system has proven to be useful for high-accuracy, long-term measurements of NRW on short-statured vegetation-like grasslands. Measurements with the ML system at a field site in Switzerland showed that NRW input occurred frequently, with 127 events over 12 months with a total NRW input of 15.9 mm. Drainage-water flow of the ML was not measured, and therefore the NRW inputs might be conservative estimates. High average monthly NRW inputs were measured during summer months, suggesting a high ecohydrological relevance of NRW inputs for temperate grasslands.","container-title":"Hydrology and Earth System Sciences","DOI":"10.5194/hess-26-91-2022","ISSN":"1027-5606","issue":"1","language":"English","note":"publisher: Copernicus GmbH","page":"91-116","source":"Copernicus Online Journals","title":"Technical note: High-accuracy weighing micro-lysimeter system for long-term measurements of non-rainfall water inputs to grasslands","title-short":"Technical note","volume":"26","author":[{"family":"Riedl","given":"Andreas"},{"family":"Li","given":"Yafei"},{"family":"Eugster","given":"Jon"},{"family":"Buchmann","given":"Nina"},{"family":"Eugster","given":"Werner"}],"issued":{"date-parts":[["2022",1,11]]}}}],"schema":"https://github.com/citation-style-language/schema/raw/master/csl-citation.json"} </w:instrText>
      </w:r>
      <w:r w:rsidR="00177072" w:rsidRPr="000865E7">
        <w:fldChar w:fldCharType="separate"/>
      </w:r>
      <w:r w:rsidR="00177072" w:rsidRPr="000865E7">
        <w:t>(Riedl et al. 2022)</w:t>
      </w:r>
      <w:r w:rsidR="00177072" w:rsidRPr="000865E7">
        <w:fldChar w:fldCharType="end"/>
      </w:r>
      <w:r w:rsidR="00177072" w:rsidRPr="000865E7">
        <w:t>.</w:t>
      </w:r>
    </w:p>
    <w:p w14:paraId="0C5848E4" w14:textId="597B7A39" w:rsidR="002908F5" w:rsidRPr="000865E7" w:rsidRDefault="002908F5" w:rsidP="003A7E1B">
      <w:pPr>
        <w:pStyle w:val="Heading3"/>
      </w:pPr>
      <w:bookmarkStart w:id="23" w:name="_Toc152692013"/>
      <w:r>
        <w:t>UAS Platform</w:t>
      </w:r>
      <w:bookmarkEnd w:id="23"/>
      <w:r>
        <w:t xml:space="preserve"> </w:t>
      </w:r>
    </w:p>
    <w:p w14:paraId="42C2CCEA" w14:textId="02B21EAF" w:rsidR="00D11D44" w:rsidRDefault="005858D2" w:rsidP="000865E7">
      <w:pPr>
        <w:pStyle w:val="TextFormat"/>
      </w:pPr>
      <w:r w:rsidRPr="000865E7">
        <w:t xml:space="preserve">The project </w:t>
      </w:r>
      <w:r w:rsidR="000C1D54" w:rsidRPr="000865E7">
        <w:t>use</w:t>
      </w:r>
      <w:r w:rsidR="0032251C">
        <w:t>s</w:t>
      </w:r>
      <w:r w:rsidRPr="000865E7">
        <w:t xml:space="preserve"> a waterproof, icing-resistant, 1620 mm (5.3 ft) diameter UAV (</w:t>
      </w:r>
      <w:r w:rsidR="007E13B7">
        <w:fldChar w:fldCharType="begin"/>
      </w:r>
      <w:r w:rsidR="007E13B7">
        <w:instrText xml:space="preserve"> REF _Ref150983509 \h </w:instrText>
      </w:r>
      <w:r w:rsidR="007E13B7">
        <w:fldChar w:fldCharType="separate"/>
      </w:r>
      <w:r w:rsidR="0010654D" w:rsidRPr="00FD66F4">
        <w:t xml:space="preserve">Table </w:t>
      </w:r>
      <w:r w:rsidR="0010654D">
        <w:rPr>
          <w:noProof/>
        </w:rPr>
        <w:t>3</w:t>
      </w:r>
      <w:r w:rsidR="007E13B7">
        <w:fldChar w:fldCharType="end"/>
      </w:r>
      <w:r w:rsidR="007E13B7">
        <w:t xml:space="preserve">). </w:t>
      </w:r>
      <w:r w:rsidRPr="000865E7">
        <w:t xml:space="preserve">The UAV </w:t>
      </w:r>
      <w:r w:rsidR="0032251C">
        <w:t xml:space="preserve">is </w:t>
      </w:r>
      <w:r w:rsidRPr="000865E7">
        <w:t xml:space="preserve">custom-built and manufactured by </w:t>
      </w:r>
      <w:proofErr w:type="spellStart"/>
      <w:r w:rsidRPr="000865E7">
        <w:t>Botlink</w:t>
      </w:r>
      <w:proofErr w:type="spellEnd"/>
      <w:r w:rsidRPr="000865E7">
        <w:t xml:space="preserve"> and use</w:t>
      </w:r>
      <w:r w:rsidR="0032251C">
        <w:t>s</w:t>
      </w:r>
      <w:r w:rsidRPr="000865E7">
        <w:t xml:space="preserve"> 29” diameter lightweight </w:t>
      </w:r>
      <w:r w:rsidRPr="000865E7">
        <w:lastRenderedPageBreak/>
        <w:t xml:space="preserve">carbon fiber propellers with integrated water ingress protection that allows for a maximum takeoff weight of 25 kg (55.1 </w:t>
      </w:r>
      <w:proofErr w:type="spellStart"/>
      <w:r w:rsidRPr="000865E7">
        <w:t>lbs</w:t>
      </w:r>
      <w:proofErr w:type="spellEnd"/>
      <w:r w:rsidRPr="000865E7">
        <w:t xml:space="preserve">) and a maximum payload allowance of 6 kg (13.2 </w:t>
      </w:r>
      <w:proofErr w:type="spellStart"/>
      <w:r w:rsidRPr="000865E7">
        <w:t>lbs</w:t>
      </w:r>
      <w:proofErr w:type="spellEnd"/>
      <w:r w:rsidRPr="000865E7">
        <w:t xml:space="preserve">). Four 30,000 </w:t>
      </w:r>
      <w:proofErr w:type="spellStart"/>
      <w:r w:rsidRPr="000865E7">
        <w:t>mAh</w:t>
      </w:r>
      <w:proofErr w:type="spellEnd"/>
      <w:r w:rsidRPr="000865E7">
        <w:t xml:space="preserve"> high density lithium-ion batteries enable payload dependent flight times of around half an hour. Eight total batteries allow for two rapid-succession UAV flights and an hour of maximum mission length. A licensed UAV operator conduct</w:t>
      </w:r>
      <w:r w:rsidR="0032251C">
        <w:t>s</w:t>
      </w:r>
      <w:r w:rsidRPr="000865E7">
        <w:t xml:space="preserve"> all operations and ensur</w:t>
      </w:r>
      <w:r w:rsidR="0032251C">
        <w:t>es</w:t>
      </w:r>
      <w:r w:rsidRPr="000865E7">
        <w:t xml:space="preserve"> compliance with FAA waiver restrictions.</w:t>
      </w:r>
    </w:p>
    <w:p w14:paraId="3019E693" w14:textId="37823057" w:rsidR="005233E0" w:rsidRPr="00FD66F4" w:rsidRDefault="005858D2" w:rsidP="00FD66F4">
      <w:pPr>
        <w:pStyle w:val="TableCaption"/>
      </w:pPr>
      <w:bookmarkStart w:id="24" w:name="_Ref150983509"/>
      <w:bookmarkStart w:id="25" w:name="_Toc150784680"/>
      <w:bookmarkStart w:id="26" w:name="_Toc150826341"/>
      <w:bookmarkStart w:id="27" w:name="_Toc152692071"/>
      <w:r w:rsidRPr="00FD66F4">
        <w:t xml:space="preserve">Table </w:t>
      </w:r>
      <w:r w:rsidR="005858A3">
        <w:fldChar w:fldCharType="begin"/>
      </w:r>
      <w:r w:rsidR="005858A3">
        <w:instrText xml:space="preserve"> SEQ Table \* ARABIC </w:instrText>
      </w:r>
      <w:r w:rsidR="005858A3">
        <w:fldChar w:fldCharType="separate"/>
      </w:r>
      <w:r w:rsidR="0010654D">
        <w:rPr>
          <w:noProof/>
        </w:rPr>
        <w:t>3</w:t>
      </w:r>
      <w:r w:rsidR="005858A3">
        <w:rPr>
          <w:noProof/>
        </w:rPr>
        <w:fldChar w:fldCharType="end"/>
      </w:r>
      <w:bookmarkEnd w:id="24"/>
      <w:r w:rsidRPr="00FD66F4">
        <w:t xml:space="preserve">: </w:t>
      </w:r>
      <w:r w:rsidR="00FB0CCA" w:rsidRPr="00FD66F4">
        <w:t xml:space="preserve">A table </w:t>
      </w:r>
      <w:r w:rsidR="00605DE2">
        <w:t>listing the Unmanned Aircraft Vehicle (</w:t>
      </w:r>
      <w:r w:rsidRPr="00FD66F4">
        <w:t>UAV</w:t>
      </w:r>
      <w:r w:rsidR="00605DE2">
        <w:t>)</w:t>
      </w:r>
      <w:r w:rsidRPr="00FD66F4">
        <w:t xml:space="preserve"> specifications for supercooled and low visibility missions. </w:t>
      </w:r>
      <w:r w:rsidR="00FB0CCA" w:rsidRPr="00FD66F4">
        <w:t xml:space="preserve">The Pixhawk Cube is a module that integrates autopilot functionality into UAV operation. The Radio Control Controller acts as a ground station for data uplink and visualization to the UAV. The </w:t>
      </w:r>
      <w:proofErr w:type="spellStart"/>
      <w:r w:rsidR="00FB0CCA" w:rsidRPr="00FD66F4">
        <w:t>Botlink</w:t>
      </w:r>
      <w:proofErr w:type="spellEnd"/>
      <w:r w:rsidR="00FB0CCA" w:rsidRPr="00FD66F4">
        <w:t xml:space="preserve"> </w:t>
      </w:r>
      <w:proofErr w:type="spellStart"/>
      <w:r w:rsidR="00254966">
        <w:t>eXtended</w:t>
      </w:r>
      <w:proofErr w:type="spellEnd"/>
      <w:r w:rsidR="00254966">
        <w:t xml:space="preserve"> Range Datalink (XRD) </w:t>
      </w:r>
      <w:r w:rsidR="000920C6" w:rsidRPr="00FD66F4">
        <w:t xml:space="preserve">provides </w:t>
      </w:r>
      <w:r w:rsidR="00FB0CCA" w:rsidRPr="00FD66F4">
        <w:t xml:space="preserve">constant monitoring during </w:t>
      </w:r>
      <w:r w:rsidR="000920C6" w:rsidRPr="00FD66F4">
        <w:t xml:space="preserve">UAV </w:t>
      </w:r>
      <w:r w:rsidR="00FB0CCA" w:rsidRPr="00FD66F4">
        <w:t>operations using a</w:t>
      </w:r>
      <w:r w:rsidR="00254966">
        <w:t xml:space="preserve"> Fourth Generation</w:t>
      </w:r>
      <w:r w:rsidR="00FB0CCA" w:rsidRPr="00FD66F4">
        <w:t xml:space="preserve"> </w:t>
      </w:r>
      <w:r w:rsidR="00254966">
        <w:t>Long Term Evolution (4G-LTE)</w:t>
      </w:r>
      <w:r w:rsidR="00FB0CCA" w:rsidRPr="00FD66F4">
        <w:t xml:space="preserve"> connection </w:t>
      </w:r>
      <w:r w:rsidR="000920C6" w:rsidRPr="00FD66F4">
        <w:t xml:space="preserve">and facilitates real-time data upload. </w:t>
      </w:r>
      <w:r w:rsidR="0060344C" w:rsidRPr="00FD66F4">
        <w:t>The Firehouse strobe lights enable drone visualization during reduced visibilities. Removable landing gear and arms allow for UAV storage.</w:t>
      </w:r>
      <w:bookmarkEnd w:id="25"/>
      <w:bookmarkEnd w:id="26"/>
      <w:bookmarkEnd w:id="27"/>
      <w:r w:rsidR="0060344C" w:rsidRPr="00FD66F4">
        <w:t xml:space="preserve"> </w:t>
      </w:r>
    </w:p>
    <w:tbl>
      <w:tblPr>
        <w:tblpPr w:leftFromText="2880" w:rightFromText="2880" w:bottomFromText="288" w:vertAnchor="text" w:tblpXSpec="center" w:tblpY="1"/>
        <w:tblOverlap w:val="never"/>
        <w:tblW w:w="6655" w:type="dxa"/>
        <w:tblLook w:val="04A0" w:firstRow="1" w:lastRow="0" w:firstColumn="1" w:lastColumn="0" w:noHBand="0" w:noVBand="1"/>
      </w:tblPr>
      <w:tblGrid>
        <w:gridCol w:w="3415"/>
        <w:gridCol w:w="3240"/>
      </w:tblGrid>
      <w:tr w:rsidR="005233E0" w:rsidRPr="00080AE7" w14:paraId="681AC8D4" w14:textId="77777777" w:rsidTr="00092EE3">
        <w:trPr>
          <w:trHeight w:val="288"/>
        </w:trPr>
        <w:tc>
          <w:tcPr>
            <w:tcW w:w="3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F6832" w14:textId="77777777" w:rsidR="005233E0" w:rsidRPr="00080AE7" w:rsidRDefault="005233E0" w:rsidP="00092EE3">
            <w:pPr>
              <w:pStyle w:val="Table"/>
              <w:framePr w:hSpace="0" w:wrap="auto" w:vAnchor="margin" w:xAlign="left" w:yAlign="inline"/>
              <w:suppressOverlap w:val="0"/>
            </w:pPr>
            <w:r w:rsidRPr="00080AE7">
              <w:t>Diameter</w:t>
            </w:r>
          </w:p>
        </w:tc>
        <w:tc>
          <w:tcPr>
            <w:tcW w:w="3240" w:type="dxa"/>
            <w:tcBorders>
              <w:top w:val="single" w:sz="4" w:space="0" w:color="auto"/>
              <w:left w:val="nil"/>
              <w:bottom w:val="single" w:sz="4" w:space="0" w:color="auto"/>
              <w:right w:val="single" w:sz="4" w:space="0" w:color="auto"/>
            </w:tcBorders>
            <w:shd w:val="clear" w:color="auto" w:fill="auto"/>
            <w:noWrap/>
            <w:vAlign w:val="bottom"/>
            <w:hideMark/>
          </w:tcPr>
          <w:p w14:paraId="203D3B5B"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1620 mm</w:t>
            </w:r>
          </w:p>
        </w:tc>
      </w:tr>
      <w:tr w:rsidR="005233E0" w:rsidRPr="00080AE7" w14:paraId="160EE833" w14:textId="77777777" w:rsidTr="00092EE3">
        <w:trPr>
          <w:trHeight w:val="288"/>
        </w:trPr>
        <w:tc>
          <w:tcPr>
            <w:tcW w:w="3415" w:type="dxa"/>
            <w:tcBorders>
              <w:top w:val="nil"/>
              <w:left w:val="single" w:sz="4" w:space="0" w:color="auto"/>
              <w:bottom w:val="single" w:sz="4" w:space="0" w:color="auto"/>
              <w:right w:val="single" w:sz="4" w:space="0" w:color="auto"/>
            </w:tcBorders>
            <w:shd w:val="clear" w:color="auto" w:fill="auto"/>
            <w:noWrap/>
            <w:vAlign w:val="center"/>
            <w:hideMark/>
          </w:tcPr>
          <w:p w14:paraId="669764C0" w14:textId="77777777" w:rsidR="005233E0" w:rsidRPr="00080AE7" w:rsidRDefault="005233E0" w:rsidP="00092EE3">
            <w:pPr>
              <w:pStyle w:val="Table"/>
              <w:framePr w:hSpace="0" w:wrap="auto" w:vAnchor="margin" w:xAlign="left" w:yAlign="inline"/>
              <w:suppressOverlap w:val="0"/>
            </w:pPr>
            <w:r w:rsidRPr="00080AE7">
              <w:t>Maximum Takeoff Weight</w:t>
            </w:r>
          </w:p>
        </w:tc>
        <w:tc>
          <w:tcPr>
            <w:tcW w:w="3240" w:type="dxa"/>
            <w:tcBorders>
              <w:top w:val="nil"/>
              <w:left w:val="nil"/>
              <w:bottom w:val="single" w:sz="4" w:space="0" w:color="auto"/>
              <w:right w:val="single" w:sz="4" w:space="0" w:color="auto"/>
            </w:tcBorders>
            <w:shd w:val="clear" w:color="auto" w:fill="auto"/>
            <w:noWrap/>
            <w:vAlign w:val="bottom"/>
            <w:hideMark/>
          </w:tcPr>
          <w:p w14:paraId="5900FDA1"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25 kg</w:t>
            </w:r>
          </w:p>
        </w:tc>
      </w:tr>
      <w:tr w:rsidR="005233E0" w:rsidRPr="00080AE7" w14:paraId="0AADA96D" w14:textId="77777777" w:rsidTr="00092EE3">
        <w:trPr>
          <w:trHeight w:val="288"/>
        </w:trPr>
        <w:tc>
          <w:tcPr>
            <w:tcW w:w="3415" w:type="dxa"/>
            <w:tcBorders>
              <w:top w:val="nil"/>
              <w:left w:val="single" w:sz="4" w:space="0" w:color="auto"/>
              <w:bottom w:val="single" w:sz="4" w:space="0" w:color="auto"/>
              <w:right w:val="single" w:sz="4" w:space="0" w:color="auto"/>
            </w:tcBorders>
            <w:shd w:val="clear" w:color="auto" w:fill="auto"/>
            <w:noWrap/>
            <w:vAlign w:val="center"/>
            <w:hideMark/>
          </w:tcPr>
          <w:p w14:paraId="54EEB6C8" w14:textId="77777777" w:rsidR="005233E0" w:rsidRPr="00080AE7" w:rsidRDefault="005233E0" w:rsidP="00092EE3">
            <w:pPr>
              <w:pStyle w:val="Table"/>
              <w:framePr w:hSpace="0" w:wrap="auto" w:vAnchor="margin" w:xAlign="left" w:yAlign="inline"/>
              <w:suppressOverlap w:val="0"/>
            </w:pPr>
            <w:r w:rsidRPr="00080AE7">
              <w:t>Maximum Takeoff Payload</w:t>
            </w:r>
          </w:p>
        </w:tc>
        <w:tc>
          <w:tcPr>
            <w:tcW w:w="3240" w:type="dxa"/>
            <w:tcBorders>
              <w:top w:val="nil"/>
              <w:left w:val="nil"/>
              <w:bottom w:val="single" w:sz="4" w:space="0" w:color="auto"/>
              <w:right w:val="single" w:sz="4" w:space="0" w:color="auto"/>
            </w:tcBorders>
            <w:shd w:val="clear" w:color="auto" w:fill="auto"/>
            <w:noWrap/>
            <w:vAlign w:val="bottom"/>
            <w:hideMark/>
          </w:tcPr>
          <w:p w14:paraId="64E6F0B8"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6 kg</w:t>
            </w:r>
          </w:p>
        </w:tc>
      </w:tr>
      <w:tr w:rsidR="005233E0" w:rsidRPr="00080AE7" w14:paraId="36E4457D" w14:textId="77777777" w:rsidTr="00092EE3">
        <w:trPr>
          <w:trHeight w:val="288"/>
        </w:trPr>
        <w:tc>
          <w:tcPr>
            <w:tcW w:w="3415" w:type="dxa"/>
            <w:vMerge w:val="restart"/>
            <w:tcBorders>
              <w:top w:val="nil"/>
              <w:left w:val="single" w:sz="4" w:space="0" w:color="auto"/>
              <w:bottom w:val="single" w:sz="4" w:space="0" w:color="auto"/>
              <w:right w:val="single" w:sz="4" w:space="0" w:color="auto"/>
            </w:tcBorders>
            <w:shd w:val="clear" w:color="auto" w:fill="auto"/>
            <w:vAlign w:val="center"/>
            <w:hideMark/>
          </w:tcPr>
          <w:p w14:paraId="43496143" w14:textId="77777777" w:rsidR="005233E0" w:rsidRPr="00080AE7" w:rsidRDefault="005233E0" w:rsidP="00092EE3">
            <w:pPr>
              <w:pStyle w:val="Table"/>
              <w:framePr w:hSpace="0" w:wrap="auto" w:vAnchor="margin" w:xAlign="left" w:yAlign="inline"/>
              <w:suppressOverlap w:val="0"/>
            </w:pPr>
            <w:r w:rsidRPr="00080AE7">
              <w:t>Flight Time Estimates</w:t>
            </w:r>
          </w:p>
        </w:tc>
        <w:tc>
          <w:tcPr>
            <w:tcW w:w="3240" w:type="dxa"/>
            <w:tcBorders>
              <w:top w:val="nil"/>
              <w:left w:val="nil"/>
              <w:bottom w:val="single" w:sz="4" w:space="0" w:color="auto"/>
              <w:right w:val="single" w:sz="4" w:space="0" w:color="auto"/>
            </w:tcBorders>
            <w:shd w:val="clear" w:color="auto" w:fill="auto"/>
            <w:noWrap/>
            <w:vAlign w:val="bottom"/>
            <w:hideMark/>
          </w:tcPr>
          <w:p w14:paraId="712516B0" w14:textId="15229815"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32.5 min (4</w:t>
            </w:r>
            <w:r w:rsidR="009224D2">
              <w:rPr>
                <w:b w:val="0"/>
                <w:bCs w:val="0"/>
              </w:rPr>
              <w:t xml:space="preserve"> </w:t>
            </w:r>
            <w:r w:rsidRPr="00092EE3">
              <w:rPr>
                <w:b w:val="0"/>
                <w:bCs w:val="0"/>
              </w:rPr>
              <w:t>kg Payload)</w:t>
            </w:r>
          </w:p>
        </w:tc>
      </w:tr>
      <w:tr w:rsidR="005233E0" w:rsidRPr="00080AE7" w14:paraId="3954F386" w14:textId="77777777" w:rsidTr="00092EE3">
        <w:trPr>
          <w:trHeight w:val="288"/>
        </w:trPr>
        <w:tc>
          <w:tcPr>
            <w:tcW w:w="3415" w:type="dxa"/>
            <w:vMerge/>
            <w:tcBorders>
              <w:top w:val="nil"/>
              <w:left w:val="single" w:sz="4" w:space="0" w:color="auto"/>
              <w:bottom w:val="single" w:sz="4" w:space="0" w:color="auto"/>
              <w:right w:val="single" w:sz="4" w:space="0" w:color="auto"/>
            </w:tcBorders>
            <w:vAlign w:val="center"/>
            <w:hideMark/>
          </w:tcPr>
          <w:p w14:paraId="6E4AA772" w14:textId="77777777" w:rsidR="005233E0" w:rsidRPr="00080AE7" w:rsidRDefault="005233E0" w:rsidP="00092EE3">
            <w:pPr>
              <w:pStyle w:val="Table"/>
              <w:framePr w:hSpace="0" w:wrap="auto" w:vAnchor="margin" w:xAlign="left" w:yAlign="inline"/>
              <w:suppressOverlap w:val="0"/>
            </w:pPr>
          </w:p>
        </w:tc>
        <w:tc>
          <w:tcPr>
            <w:tcW w:w="3240" w:type="dxa"/>
            <w:tcBorders>
              <w:top w:val="nil"/>
              <w:left w:val="nil"/>
              <w:bottom w:val="single" w:sz="4" w:space="0" w:color="auto"/>
              <w:right w:val="single" w:sz="4" w:space="0" w:color="auto"/>
            </w:tcBorders>
            <w:shd w:val="clear" w:color="auto" w:fill="auto"/>
            <w:noWrap/>
            <w:vAlign w:val="bottom"/>
            <w:hideMark/>
          </w:tcPr>
          <w:p w14:paraId="4106B4DA" w14:textId="56C737DF"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28.9 min (6</w:t>
            </w:r>
            <w:r w:rsidR="009224D2">
              <w:rPr>
                <w:b w:val="0"/>
                <w:bCs w:val="0"/>
              </w:rPr>
              <w:t xml:space="preserve"> </w:t>
            </w:r>
            <w:r w:rsidRPr="00092EE3">
              <w:rPr>
                <w:b w:val="0"/>
                <w:bCs w:val="0"/>
              </w:rPr>
              <w:t>kg Payload)</w:t>
            </w:r>
          </w:p>
        </w:tc>
      </w:tr>
      <w:tr w:rsidR="005233E0" w:rsidRPr="00080AE7" w14:paraId="170BAD2B" w14:textId="77777777" w:rsidTr="00092EE3">
        <w:trPr>
          <w:trHeight w:val="288"/>
        </w:trPr>
        <w:tc>
          <w:tcPr>
            <w:tcW w:w="3415" w:type="dxa"/>
            <w:tcBorders>
              <w:top w:val="nil"/>
              <w:left w:val="single" w:sz="4" w:space="0" w:color="auto"/>
              <w:bottom w:val="single" w:sz="4" w:space="0" w:color="auto"/>
              <w:right w:val="single" w:sz="4" w:space="0" w:color="auto"/>
            </w:tcBorders>
            <w:shd w:val="clear" w:color="auto" w:fill="auto"/>
            <w:noWrap/>
            <w:vAlign w:val="center"/>
            <w:hideMark/>
          </w:tcPr>
          <w:p w14:paraId="0B0F3DD7" w14:textId="77777777" w:rsidR="005233E0" w:rsidRPr="00080AE7" w:rsidRDefault="005233E0" w:rsidP="00092EE3">
            <w:pPr>
              <w:pStyle w:val="Table"/>
              <w:framePr w:hSpace="0" w:wrap="auto" w:vAnchor="margin" w:xAlign="left" w:yAlign="inline"/>
              <w:suppressOverlap w:val="0"/>
            </w:pPr>
            <w:r w:rsidRPr="00080AE7">
              <w:t>Battery Capacity</w:t>
            </w:r>
          </w:p>
        </w:tc>
        <w:tc>
          <w:tcPr>
            <w:tcW w:w="3240" w:type="dxa"/>
            <w:tcBorders>
              <w:top w:val="nil"/>
              <w:left w:val="nil"/>
              <w:bottom w:val="single" w:sz="4" w:space="0" w:color="auto"/>
              <w:right w:val="single" w:sz="4" w:space="0" w:color="auto"/>
            </w:tcBorders>
            <w:shd w:val="clear" w:color="auto" w:fill="auto"/>
            <w:noWrap/>
            <w:vAlign w:val="bottom"/>
            <w:hideMark/>
          </w:tcPr>
          <w:p w14:paraId="62C412A2"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 xml:space="preserve">4 x 30,000 </w:t>
            </w:r>
            <w:proofErr w:type="spellStart"/>
            <w:r w:rsidRPr="00092EE3">
              <w:rPr>
                <w:b w:val="0"/>
                <w:bCs w:val="0"/>
              </w:rPr>
              <w:t>mAh</w:t>
            </w:r>
            <w:proofErr w:type="spellEnd"/>
          </w:p>
        </w:tc>
      </w:tr>
      <w:tr w:rsidR="005233E0" w:rsidRPr="00080AE7" w14:paraId="4F7B2FBF" w14:textId="77777777" w:rsidTr="00092EE3">
        <w:trPr>
          <w:trHeight w:val="288"/>
        </w:trPr>
        <w:tc>
          <w:tcPr>
            <w:tcW w:w="3415" w:type="dxa"/>
            <w:tcBorders>
              <w:top w:val="nil"/>
              <w:left w:val="single" w:sz="4" w:space="0" w:color="auto"/>
              <w:bottom w:val="single" w:sz="4" w:space="0" w:color="auto"/>
              <w:right w:val="single" w:sz="4" w:space="0" w:color="auto"/>
            </w:tcBorders>
            <w:shd w:val="clear" w:color="auto" w:fill="auto"/>
            <w:noWrap/>
            <w:vAlign w:val="center"/>
            <w:hideMark/>
          </w:tcPr>
          <w:p w14:paraId="35FEF5B5" w14:textId="77777777" w:rsidR="005233E0" w:rsidRPr="00080AE7" w:rsidRDefault="005233E0" w:rsidP="00092EE3">
            <w:pPr>
              <w:pStyle w:val="Table"/>
              <w:framePr w:hSpace="0" w:wrap="auto" w:vAnchor="margin" w:xAlign="left" w:yAlign="inline"/>
              <w:suppressOverlap w:val="0"/>
            </w:pPr>
            <w:r w:rsidRPr="00080AE7">
              <w:t>Autopilot</w:t>
            </w:r>
          </w:p>
        </w:tc>
        <w:tc>
          <w:tcPr>
            <w:tcW w:w="3240" w:type="dxa"/>
            <w:tcBorders>
              <w:top w:val="nil"/>
              <w:left w:val="nil"/>
              <w:bottom w:val="single" w:sz="4" w:space="0" w:color="auto"/>
              <w:right w:val="single" w:sz="4" w:space="0" w:color="auto"/>
            </w:tcBorders>
            <w:shd w:val="clear" w:color="auto" w:fill="auto"/>
            <w:noWrap/>
            <w:vAlign w:val="bottom"/>
            <w:hideMark/>
          </w:tcPr>
          <w:p w14:paraId="1124E53E"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Pixhawk Cube</w:t>
            </w:r>
          </w:p>
        </w:tc>
      </w:tr>
      <w:tr w:rsidR="005233E0" w:rsidRPr="00080AE7" w14:paraId="7E4848A0" w14:textId="77777777" w:rsidTr="00092EE3">
        <w:trPr>
          <w:trHeight w:val="288"/>
        </w:trPr>
        <w:tc>
          <w:tcPr>
            <w:tcW w:w="3415" w:type="dxa"/>
            <w:tcBorders>
              <w:top w:val="nil"/>
              <w:left w:val="single" w:sz="4" w:space="0" w:color="auto"/>
              <w:bottom w:val="single" w:sz="4" w:space="0" w:color="auto"/>
              <w:right w:val="single" w:sz="4" w:space="0" w:color="auto"/>
            </w:tcBorders>
            <w:shd w:val="clear" w:color="auto" w:fill="auto"/>
            <w:vAlign w:val="center"/>
            <w:hideMark/>
          </w:tcPr>
          <w:p w14:paraId="43E3A361" w14:textId="77777777" w:rsidR="005233E0" w:rsidRPr="00080AE7" w:rsidRDefault="005233E0" w:rsidP="00092EE3">
            <w:pPr>
              <w:pStyle w:val="Table"/>
              <w:framePr w:hSpace="0" w:wrap="auto" w:vAnchor="margin" w:xAlign="left" w:yAlign="inline"/>
              <w:suppressOverlap w:val="0"/>
            </w:pPr>
            <w:r w:rsidRPr="00080AE7">
              <w:t xml:space="preserve">Radio Control (RC) Controller </w:t>
            </w:r>
          </w:p>
        </w:tc>
        <w:tc>
          <w:tcPr>
            <w:tcW w:w="3240" w:type="dxa"/>
            <w:tcBorders>
              <w:top w:val="nil"/>
              <w:left w:val="nil"/>
              <w:bottom w:val="single" w:sz="4" w:space="0" w:color="auto"/>
              <w:right w:val="single" w:sz="4" w:space="0" w:color="auto"/>
            </w:tcBorders>
            <w:shd w:val="clear" w:color="auto" w:fill="auto"/>
            <w:noWrap/>
            <w:vAlign w:val="bottom"/>
            <w:hideMark/>
          </w:tcPr>
          <w:p w14:paraId="0EFF96C9" w14:textId="29351BD0"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2.4 GHz</w:t>
            </w:r>
            <w:r w:rsidR="009224D2">
              <w:rPr>
                <w:b w:val="0"/>
                <w:bCs w:val="0"/>
              </w:rPr>
              <w:t>, 8 km range</w:t>
            </w:r>
          </w:p>
        </w:tc>
      </w:tr>
      <w:tr w:rsidR="005233E0" w:rsidRPr="00080AE7" w14:paraId="53631BCC" w14:textId="77777777" w:rsidTr="00092EE3">
        <w:trPr>
          <w:trHeight w:val="288"/>
        </w:trPr>
        <w:tc>
          <w:tcPr>
            <w:tcW w:w="3415" w:type="dxa"/>
            <w:tcBorders>
              <w:top w:val="nil"/>
              <w:left w:val="single" w:sz="4" w:space="0" w:color="auto"/>
              <w:bottom w:val="single" w:sz="4" w:space="0" w:color="auto"/>
              <w:right w:val="single" w:sz="4" w:space="0" w:color="auto"/>
            </w:tcBorders>
            <w:shd w:val="clear" w:color="auto" w:fill="auto"/>
            <w:vAlign w:val="center"/>
            <w:hideMark/>
          </w:tcPr>
          <w:p w14:paraId="3F6F3387" w14:textId="77777777" w:rsidR="005233E0" w:rsidRPr="00080AE7" w:rsidRDefault="005233E0" w:rsidP="00092EE3">
            <w:pPr>
              <w:pStyle w:val="Table"/>
              <w:framePr w:hSpace="0" w:wrap="auto" w:vAnchor="margin" w:xAlign="left" w:yAlign="inline"/>
              <w:suppressOverlap w:val="0"/>
            </w:pPr>
            <w:r w:rsidRPr="00080AE7">
              <w:t xml:space="preserve">Datalink </w:t>
            </w:r>
          </w:p>
        </w:tc>
        <w:tc>
          <w:tcPr>
            <w:tcW w:w="3240" w:type="dxa"/>
            <w:tcBorders>
              <w:top w:val="nil"/>
              <w:left w:val="nil"/>
              <w:bottom w:val="single" w:sz="4" w:space="0" w:color="auto"/>
              <w:right w:val="single" w:sz="4" w:space="0" w:color="auto"/>
            </w:tcBorders>
            <w:shd w:val="clear" w:color="auto" w:fill="auto"/>
            <w:noWrap/>
            <w:vAlign w:val="bottom"/>
            <w:hideMark/>
          </w:tcPr>
          <w:p w14:paraId="28189D9B" w14:textId="060665FE"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 xml:space="preserve">900 </w:t>
            </w:r>
            <w:proofErr w:type="gramStart"/>
            <w:r w:rsidRPr="00092EE3">
              <w:rPr>
                <w:b w:val="0"/>
                <w:bCs w:val="0"/>
              </w:rPr>
              <w:t>MHz</w:t>
            </w:r>
            <w:r w:rsidR="009224D2">
              <w:rPr>
                <w:b w:val="0"/>
                <w:bCs w:val="0"/>
              </w:rPr>
              <w:t xml:space="preserve">, </w:t>
            </w:r>
            <w:r w:rsidR="009224D2" w:rsidRPr="00092EE3">
              <w:rPr>
                <w:b w:val="0"/>
                <w:bCs w:val="0"/>
              </w:rPr>
              <w:t xml:space="preserve"> </w:t>
            </w:r>
            <w:proofErr w:type="spellStart"/>
            <w:r w:rsidR="009224D2" w:rsidRPr="00092EE3">
              <w:rPr>
                <w:b w:val="0"/>
                <w:bCs w:val="0"/>
              </w:rPr>
              <w:t>Botlink</w:t>
            </w:r>
            <w:proofErr w:type="spellEnd"/>
            <w:proofErr w:type="gramEnd"/>
            <w:r w:rsidR="009224D2" w:rsidRPr="00092EE3">
              <w:rPr>
                <w:b w:val="0"/>
                <w:bCs w:val="0"/>
              </w:rPr>
              <w:t xml:space="preserve"> XRD LTE</w:t>
            </w:r>
          </w:p>
        </w:tc>
      </w:tr>
      <w:tr w:rsidR="005233E0" w:rsidRPr="00080AE7" w14:paraId="1D7B1E0D" w14:textId="77777777" w:rsidTr="00092EE3">
        <w:trPr>
          <w:trHeight w:val="288"/>
        </w:trPr>
        <w:tc>
          <w:tcPr>
            <w:tcW w:w="3415" w:type="dxa"/>
            <w:tcBorders>
              <w:top w:val="nil"/>
              <w:left w:val="single" w:sz="4" w:space="0" w:color="auto"/>
              <w:bottom w:val="single" w:sz="4" w:space="0" w:color="auto"/>
              <w:right w:val="single" w:sz="4" w:space="0" w:color="auto"/>
            </w:tcBorders>
            <w:shd w:val="clear" w:color="auto" w:fill="auto"/>
            <w:noWrap/>
            <w:vAlign w:val="center"/>
            <w:hideMark/>
          </w:tcPr>
          <w:p w14:paraId="656A4014" w14:textId="77777777" w:rsidR="005233E0" w:rsidRPr="00080AE7" w:rsidRDefault="005233E0" w:rsidP="00092EE3">
            <w:pPr>
              <w:pStyle w:val="Table"/>
              <w:framePr w:hSpace="0" w:wrap="auto" w:vAnchor="margin" w:xAlign="left" w:yAlign="inline"/>
              <w:suppressOverlap w:val="0"/>
            </w:pPr>
            <w:r w:rsidRPr="00080AE7">
              <w:t>Lighting</w:t>
            </w:r>
          </w:p>
        </w:tc>
        <w:tc>
          <w:tcPr>
            <w:tcW w:w="3240" w:type="dxa"/>
            <w:tcBorders>
              <w:top w:val="nil"/>
              <w:left w:val="nil"/>
              <w:bottom w:val="single" w:sz="4" w:space="0" w:color="auto"/>
              <w:right w:val="single" w:sz="4" w:space="0" w:color="auto"/>
            </w:tcBorders>
            <w:shd w:val="clear" w:color="auto" w:fill="auto"/>
            <w:noWrap/>
            <w:vAlign w:val="bottom"/>
            <w:hideMark/>
          </w:tcPr>
          <w:p w14:paraId="382924F2"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6x Firehouse ARC XL Strobes</w:t>
            </w:r>
          </w:p>
        </w:tc>
      </w:tr>
      <w:tr w:rsidR="005233E0" w:rsidRPr="00080AE7" w14:paraId="5320970B" w14:textId="77777777" w:rsidTr="00092EE3">
        <w:trPr>
          <w:trHeight w:val="288"/>
        </w:trPr>
        <w:tc>
          <w:tcPr>
            <w:tcW w:w="3415" w:type="dxa"/>
            <w:tcBorders>
              <w:top w:val="nil"/>
              <w:left w:val="single" w:sz="4" w:space="0" w:color="auto"/>
              <w:bottom w:val="single" w:sz="4" w:space="0" w:color="auto"/>
              <w:right w:val="single" w:sz="4" w:space="0" w:color="auto"/>
            </w:tcBorders>
            <w:shd w:val="clear" w:color="auto" w:fill="auto"/>
            <w:noWrap/>
            <w:vAlign w:val="center"/>
            <w:hideMark/>
          </w:tcPr>
          <w:p w14:paraId="173C8CCD" w14:textId="77777777" w:rsidR="005233E0" w:rsidRPr="00080AE7" w:rsidRDefault="005233E0" w:rsidP="00092EE3">
            <w:pPr>
              <w:pStyle w:val="Table"/>
              <w:framePr w:hSpace="0" w:wrap="auto" w:vAnchor="margin" w:xAlign="left" w:yAlign="inline"/>
              <w:suppressOverlap w:val="0"/>
            </w:pPr>
            <w:r w:rsidRPr="00080AE7">
              <w:t>Landing Gear</w:t>
            </w:r>
          </w:p>
        </w:tc>
        <w:tc>
          <w:tcPr>
            <w:tcW w:w="3240" w:type="dxa"/>
            <w:tcBorders>
              <w:top w:val="nil"/>
              <w:left w:val="nil"/>
              <w:bottom w:val="single" w:sz="4" w:space="0" w:color="auto"/>
              <w:right w:val="single" w:sz="4" w:space="0" w:color="auto"/>
            </w:tcBorders>
            <w:shd w:val="clear" w:color="auto" w:fill="auto"/>
            <w:noWrap/>
            <w:vAlign w:val="bottom"/>
            <w:hideMark/>
          </w:tcPr>
          <w:p w14:paraId="08F2512B"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Fixed and Removable</w:t>
            </w:r>
          </w:p>
        </w:tc>
      </w:tr>
      <w:tr w:rsidR="005233E0" w:rsidRPr="00080AE7" w14:paraId="583B4B78" w14:textId="77777777" w:rsidTr="00092EE3">
        <w:trPr>
          <w:trHeight w:val="288"/>
        </w:trPr>
        <w:tc>
          <w:tcPr>
            <w:tcW w:w="3415" w:type="dxa"/>
            <w:tcBorders>
              <w:top w:val="nil"/>
              <w:left w:val="single" w:sz="4" w:space="0" w:color="auto"/>
              <w:bottom w:val="single" w:sz="4" w:space="0" w:color="auto"/>
              <w:right w:val="single" w:sz="4" w:space="0" w:color="auto"/>
            </w:tcBorders>
            <w:shd w:val="clear" w:color="auto" w:fill="auto"/>
            <w:noWrap/>
            <w:vAlign w:val="center"/>
            <w:hideMark/>
          </w:tcPr>
          <w:p w14:paraId="244F5238" w14:textId="77777777" w:rsidR="005233E0" w:rsidRPr="00080AE7" w:rsidRDefault="005233E0" w:rsidP="00092EE3">
            <w:pPr>
              <w:pStyle w:val="Table"/>
              <w:framePr w:hSpace="0" w:wrap="auto" w:vAnchor="margin" w:xAlign="left" w:yAlign="inline"/>
              <w:suppressOverlap w:val="0"/>
            </w:pPr>
            <w:r w:rsidRPr="00080AE7">
              <w:t>Arms</w:t>
            </w:r>
          </w:p>
        </w:tc>
        <w:tc>
          <w:tcPr>
            <w:tcW w:w="3240" w:type="dxa"/>
            <w:tcBorders>
              <w:top w:val="nil"/>
              <w:left w:val="nil"/>
              <w:bottom w:val="single" w:sz="4" w:space="0" w:color="auto"/>
              <w:right w:val="single" w:sz="4" w:space="0" w:color="auto"/>
            </w:tcBorders>
            <w:shd w:val="clear" w:color="auto" w:fill="auto"/>
            <w:noWrap/>
            <w:vAlign w:val="bottom"/>
            <w:hideMark/>
          </w:tcPr>
          <w:p w14:paraId="1212044A"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Removable</w:t>
            </w:r>
          </w:p>
        </w:tc>
      </w:tr>
      <w:tr w:rsidR="005233E0" w:rsidRPr="00080AE7" w14:paraId="4F0C26E1" w14:textId="77777777" w:rsidTr="00092EE3">
        <w:trPr>
          <w:trHeight w:val="288"/>
        </w:trPr>
        <w:tc>
          <w:tcPr>
            <w:tcW w:w="3415" w:type="dxa"/>
            <w:tcBorders>
              <w:top w:val="nil"/>
              <w:left w:val="single" w:sz="4" w:space="0" w:color="auto"/>
              <w:bottom w:val="single" w:sz="4" w:space="0" w:color="auto"/>
              <w:right w:val="single" w:sz="4" w:space="0" w:color="auto"/>
            </w:tcBorders>
            <w:shd w:val="clear" w:color="auto" w:fill="auto"/>
            <w:noWrap/>
            <w:vAlign w:val="center"/>
            <w:hideMark/>
          </w:tcPr>
          <w:p w14:paraId="75CB2A75" w14:textId="77777777" w:rsidR="005233E0" w:rsidRPr="00080AE7" w:rsidRDefault="005233E0" w:rsidP="00092EE3">
            <w:pPr>
              <w:pStyle w:val="Table"/>
              <w:framePr w:hSpace="0" w:wrap="auto" w:vAnchor="margin" w:xAlign="left" w:yAlign="inline"/>
              <w:suppressOverlap w:val="0"/>
            </w:pPr>
            <w:r w:rsidRPr="00080AE7">
              <w:t>Propellers</w:t>
            </w:r>
          </w:p>
        </w:tc>
        <w:tc>
          <w:tcPr>
            <w:tcW w:w="3240" w:type="dxa"/>
            <w:tcBorders>
              <w:top w:val="nil"/>
              <w:left w:val="nil"/>
              <w:bottom w:val="single" w:sz="4" w:space="0" w:color="auto"/>
              <w:right w:val="single" w:sz="4" w:space="0" w:color="auto"/>
            </w:tcBorders>
            <w:shd w:val="clear" w:color="auto" w:fill="auto"/>
            <w:noWrap/>
            <w:vAlign w:val="bottom"/>
            <w:hideMark/>
          </w:tcPr>
          <w:p w14:paraId="0E28D1FA" w14:textId="77777777" w:rsidR="005233E0" w:rsidRPr="00092EE3" w:rsidRDefault="005233E0" w:rsidP="00092EE3">
            <w:pPr>
              <w:pStyle w:val="Table"/>
              <w:framePr w:hSpace="0" w:wrap="auto" w:vAnchor="margin" w:xAlign="left" w:yAlign="inline"/>
              <w:suppressOverlap w:val="0"/>
              <w:jc w:val="right"/>
              <w:rPr>
                <w:b w:val="0"/>
                <w:bCs w:val="0"/>
              </w:rPr>
            </w:pPr>
            <w:r w:rsidRPr="00092EE3">
              <w:rPr>
                <w:b w:val="0"/>
                <w:bCs w:val="0"/>
              </w:rPr>
              <w:t>29" Lightweight Carbon Fiber</w:t>
            </w:r>
          </w:p>
        </w:tc>
      </w:tr>
    </w:tbl>
    <w:p w14:paraId="0C5E330B" w14:textId="27F2BEB4" w:rsidR="005858D2" w:rsidRDefault="00280143" w:rsidP="000865E7">
      <w:pPr>
        <w:pStyle w:val="TextFormat"/>
      </w:pPr>
      <w:r w:rsidRPr="000865E7">
        <w:t xml:space="preserve">A </w:t>
      </w:r>
      <w:r w:rsidR="005858D2" w:rsidRPr="000865E7">
        <w:t xml:space="preserve">Federal Aviation Administration (FAA) </w:t>
      </w:r>
      <w:r w:rsidRPr="000865E7">
        <w:t xml:space="preserve">waver </w:t>
      </w:r>
      <w:r w:rsidR="002E0FEF" w:rsidRPr="000865E7">
        <w:t>permit</w:t>
      </w:r>
      <w:r w:rsidR="0032251C">
        <w:t>ted</w:t>
      </w:r>
      <w:r w:rsidR="002E0FEF" w:rsidRPr="000865E7">
        <w:t xml:space="preserve"> UAV operations within</w:t>
      </w:r>
      <w:r w:rsidR="005858D2" w:rsidRPr="000865E7">
        <w:t xml:space="preserve"> low-visibility </w:t>
      </w:r>
      <w:r w:rsidR="002E0FEF" w:rsidRPr="000865E7">
        <w:t xml:space="preserve">conditions in the Red River Valley, located </w:t>
      </w:r>
      <w:r w:rsidR="005858D2" w:rsidRPr="000865E7">
        <w:t xml:space="preserve">at Ice Crystal Engineering (ICE) headquarters </w:t>
      </w:r>
      <w:r w:rsidR="002E0FEF" w:rsidRPr="000865E7">
        <w:t xml:space="preserve">in </w:t>
      </w:r>
      <w:r w:rsidR="005858D2" w:rsidRPr="000865E7">
        <w:t>Kindred, North Dakota (</w:t>
      </w:r>
      <w:r w:rsidR="00FD66F4">
        <w:fldChar w:fldCharType="begin"/>
      </w:r>
      <w:r w:rsidR="00FD66F4">
        <w:instrText xml:space="preserve"> REF _Ref150820943 \h </w:instrText>
      </w:r>
      <w:r w:rsidR="00FD66F4">
        <w:fldChar w:fldCharType="separate"/>
      </w:r>
      <w:r w:rsidR="0010654D" w:rsidRPr="00FD66F4">
        <w:t xml:space="preserve">Figure </w:t>
      </w:r>
      <w:r w:rsidR="0010654D">
        <w:rPr>
          <w:noProof/>
        </w:rPr>
        <w:t>2</w:t>
      </w:r>
      <w:r w:rsidR="00FD66F4">
        <w:fldChar w:fldCharType="end"/>
      </w:r>
      <w:r w:rsidR="005858D2" w:rsidRPr="000865E7">
        <w:t xml:space="preserve">). </w:t>
      </w:r>
      <w:r w:rsidR="000C1D54" w:rsidRPr="000865E7">
        <w:t>Operations</w:t>
      </w:r>
      <w:r w:rsidR="005858D2" w:rsidRPr="000865E7">
        <w:t xml:space="preserve"> are constrained to 400 ft above ground level (AGL) as part of FAA (part 107) regulations. Low-visibility (&lt; 1</w:t>
      </w:r>
      <w:r w:rsidR="000C1D54" w:rsidRPr="000865E7">
        <w:t xml:space="preserve"> </w:t>
      </w:r>
      <w:r w:rsidR="005858D2" w:rsidRPr="000865E7">
        <w:t>km) missions can occur during daytime hours (sunrise to sunset) whereas high-visibility (&gt; 1</w:t>
      </w:r>
      <w:r w:rsidR="000C1D54" w:rsidRPr="000865E7">
        <w:t xml:space="preserve"> </w:t>
      </w:r>
      <w:r w:rsidR="005858D2" w:rsidRPr="000865E7">
        <w:t xml:space="preserve">km) missions can occur at any hour. </w:t>
      </w:r>
      <w:r w:rsidR="005858D2" w:rsidRPr="000865E7">
        <w:lastRenderedPageBreak/>
        <w:t xml:space="preserve">Visual line-of-sight rules are enforced with all UAV missions in the designated airspace south of </w:t>
      </w:r>
      <w:r w:rsidR="00605DE2">
        <w:t>Ice Crystal Engineering (</w:t>
      </w:r>
      <w:r w:rsidR="005858D2" w:rsidRPr="000865E7">
        <w:t>ICE</w:t>
      </w:r>
      <w:r w:rsidR="00605DE2">
        <w:t>)</w:t>
      </w:r>
      <w:r w:rsidR="005858D2" w:rsidRPr="000865E7">
        <w:t xml:space="preserve"> headquarters (</w:t>
      </w:r>
      <w:r w:rsidR="00F776DF">
        <w:fldChar w:fldCharType="begin"/>
      </w:r>
      <w:r w:rsidR="00F776DF">
        <w:instrText xml:space="preserve"> REF _Ref150820943 \h </w:instrText>
      </w:r>
      <w:r w:rsidR="00F776DF">
        <w:fldChar w:fldCharType="separate"/>
      </w:r>
      <w:r w:rsidR="0010654D" w:rsidRPr="00FD66F4">
        <w:t xml:space="preserve">Figure </w:t>
      </w:r>
      <w:r w:rsidR="0010654D">
        <w:rPr>
          <w:noProof/>
        </w:rPr>
        <w:t>2</w:t>
      </w:r>
      <w:r w:rsidR="00F776DF">
        <w:fldChar w:fldCharType="end"/>
      </w:r>
      <w:r w:rsidR="005858D2" w:rsidRPr="000865E7">
        <w:t>).</w:t>
      </w:r>
      <w:bookmarkStart w:id="28" w:name="_Ref150069875"/>
      <w:bookmarkStart w:id="29" w:name="_Toc150010612"/>
    </w:p>
    <w:p w14:paraId="0CDDE5AB" w14:textId="77777777" w:rsidR="00FD66F4" w:rsidRDefault="00FD66F4" w:rsidP="00FD66F4">
      <w:pPr>
        <w:pStyle w:val="Figure"/>
      </w:pPr>
      <w:r w:rsidRPr="000865E7">
        <w:drawing>
          <wp:inline distT="0" distB="0" distL="0" distR="0" wp14:anchorId="7262249D" wp14:editId="3A2395B2">
            <wp:extent cx="5935980" cy="4593985"/>
            <wp:effectExtent l="0" t="0" r="7620" b="0"/>
            <wp:docPr id="130113602" name="Picture 130113602" descr="Aerial view of a building and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46927" name="Picture 1" descr="Aerial view of a building and a fiel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972859" cy="4622526"/>
                    </a:xfrm>
                    <a:prstGeom prst="rect">
                      <a:avLst/>
                    </a:prstGeom>
                  </pic:spPr>
                </pic:pic>
              </a:graphicData>
            </a:graphic>
          </wp:inline>
        </w:drawing>
      </w:r>
    </w:p>
    <w:p w14:paraId="46FDB326" w14:textId="07A199BD" w:rsidR="00FD66F4" w:rsidRPr="00FD66F4" w:rsidRDefault="00FD66F4" w:rsidP="00FD66F4">
      <w:pPr>
        <w:pStyle w:val="FigureCaption"/>
      </w:pPr>
      <w:bookmarkStart w:id="30" w:name="_Ref150820943"/>
      <w:bookmarkStart w:id="31" w:name="_Toc152692031"/>
      <w:r w:rsidRPr="00FD66F4">
        <w:t xml:space="preserve">Figure </w:t>
      </w:r>
      <w:r w:rsidR="005858A3">
        <w:fldChar w:fldCharType="begin"/>
      </w:r>
      <w:r w:rsidR="005858A3">
        <w:instrText xml:space="preserve"> SEQ Figure \* ARABIC </w:instrText>
      </w:r>
      <w:r w:rsidR="005858A3">
        <w:fldChar w:fldCharType="separate"/>
      </w:r>
      <w:r w:rsidR="00E337FD">
        <w:rPr>
          <w:noProof/>
        </w:rPr>
        <w:t>2</w:t>
      </w:r>
      <w:r w:rsidR="005858A3">
        <w:rPr>
          <w:noProof/>
        </w:rPr>
        <w:fldChar w:fldCharType="end"/>
      </w:r>
      <w:bookmarkStart w:id="32" w:name="_Toc150698138"/>
      <w:bookmarkStart w:id="33" w:name="_Toc150818399"/>
      <w:bookmarkEnd w:id="30"/>
      <w:r w:rsidRPr="00FD66F4">
        <w:t>. Aerial view of Ice Crystal Engineering</w:t>
      </w:r>
      <w:r w:rsidR="00605DE2">
        <w:t xml:space="preserve"> (ICE)</w:t>
      </w:r>
      <w:r w:rsidRPr="00FD66F4">
        <w:t xml:space="preserve"> in Kindred, North Dakota. FAA approved airspace for </w:t>
      </w:r>
      <w:r w:rsidR="00605DE2">
        <w:t>Unmanned Aircraft Vehicle (</w:t>
      </w:r>
      <w:r w:rsidRPr="00FD66F4">
        <w:t>UAV</w:t>
      </w:r>
      <w:r w:rsidR="00605DE2">
        <w:t>)</w:t>
      </w:r>
      <w:r w:rsidRPr="00FD66F4">
        <w:t xml:space="preserve"> missions is located to the south of building headquarters, with a tripod of instrumentation located to the west of building headquarters.</w:t>
      </w:r>
      <w:bookmarkEnd w:id="32"/>
      <w:bookmarkEnd w:id="33"/>
      <w:bookmarkEnd w:id="31"/>
    </w:p>
    <w:bookmarkEnd w:id="28"/>
    <w:bookmarkEnd w:id="29"/>
    <w:p w14:paraId="616459E4" w14:textId="603D54F3" w:rsidR="005858D2" w:rsidRDefault="005858D2" w:rsidP="000865E7">
      <w:pPr>
        <w:pStyle w:val="TextFormat"/>
      </w:pPr>
      <w:r>
        <w:t xml:space="preserve">Based on recommendations by </w:t>
      </w:r>
      <w:r>
        <w:fldChar w:fldCharType="begin"/>
      </w:r>
      <w:r>
        <w:instrText xml:space="preserve"> ADDIN ZOTERO_ITEM CSL_CITATION {"citationID":"6xiotmni","properties":{"formattedCitation":"(Kimball et al. 2020)","plainCitation":"(Kimball et al. 2020)","dontUpdate":true,"noteIndex":0},"citationItems":[{"id":5,"uris":["http://zotero.org/users/local/LzhHb4Ct/items/5S5SIUA7"],"itemData":{"id":5,"type":"article-journal","abstract":"The accuracy and precision of iMET-XQ (InterMET Inc., Grand Rapids, MI, USA) temperature measurements in ten different locations on an off-the shelf rotary-wing unmanned aerial vehicle (rw-UAV) were assessed, as a function of atmospheric conditions. The rw-UAV hovered near an instrumented South Alabama Mesonet tower. The mean ± standard deviation of all the temperature differences between the tower and the ten iMET-XQ sensors for all experiments are −0.23 °C ±0.24 °C. Both the UAV and the environment influence the accuracy and precision of the iMET-XQ temperature measurements. Heat generated by the electronic components within the UAV body has a significant influence on the iMET-XQ temperature measurements, regardless of solar radiation conditions, and is highly dependent on wind direction. Electronic components within the UAV body heat up and can cause sensors downwind from the UAV body to record temperatures that are too warm, even if the sensors are aspirated by propeller wash. iMET-XQ sensors placed on rotor arms not near UAV body heat sources, and properly aspirated by propeller wash, perform well. Measurements from iMET-XQ sensors suspended below the UAV are also accurate. When using an off-the-shelf UAV for atmospheric temperature sensing, the electronic components inside the body of the UAV must be properly located. It is recommended that multiple sensors are placed on the UAV. Sensor redundancy will mitigate data loss in case of malfunction during flight and the identification of poorly performing sensors.","container-title":"Atmosphere","DOI":"10.3390/atmos11060660","ISSN":"2073-4433","issue":"6","language":"en","license":"http://creativecommons.org/licenses/by/3.0/","note":"number: 6\npublisher: Multidisciplinary Digital Publishing Institute","page":"660","source":"www.mdpi.com","title":"Assessing iMET-XQ Performance and Optimal Placement on a Small Off-the-Shelf, Rotary-Wing UAV, as a Function of Atmospheric Conditions","volume":"11","author":[{"family":"Kimball","given":"Sytske K."},{"family":"Montalvo","given":"Carlos J."},{"family":"Mulekar","given":"Madhuri S."}],"issued":{"date-parts":[["2020",6]]}}}],"schema":"https://github.com/citation-style-language/schema/raw/master/csl-citation.json"} </w:instrText>
      </w:r>
      <w:r>
        <w:fldChar w:fldCharType="separate"/>
      </w:r>
      <w:r w:rsidRPr="000E59F1">
        <w:t xml:space="preserve">Kimball et al. </w:t>
      </w:r>
      <w:r>
        <w:t>(</w:t>
      </w:r>
      <w:r w:rsidRPr="000E59F1">
        <w:t>2020)</w:t>
      </w:r>
      <w:r>
        <w:fldChar w:fldCharType="end"/>
      </w:r>
      <w:r>
        <w:t xml:space="preserve">, both IMet-XQ2 and MiniOFS </w:t>
      </w:r>
      <w:r w:rsidR="00FB6523">
        <w:t xml:space="preserve">instruments </w:t>
      </w:r>
      <w:r>
        <w:t xml:space="preserve">are attached beneath the main body of the </w:t>
      </w:r>
      <w:r w:rsidRPr="002E0FEF">
        <w:t>UAV</w:t>
      </w:r>
      <w:r w:rsidR="002E0FEF" w:rsidRPr="002E0FEF">
        <w:t xml:space="preserve"> </w:t>
      </w:r>
      <w:r w:rsidR="00FB6523" w:rsidRPr="002E0FEF">
        <w:t>and</w:t>
      </w:r>
      <w:r w:rsidR="00FB6523">
        <w:t xml:space="preserve"> connected to power and a data acquisition system to create </w:t>
      </w:r>
      <w:r w:rsidR="002E0FEF">
        <w:t>the</w:t>
      </w:r>
      <w:r w:rsidR="00FB6523">
        <w:t xml:space="preserve"> </w:t>
      </w:r>
      <w:r w:rsidR="002E0FEF">
        <w:t xml:space="preserve">UAS </w:t>
      </w:r>
      <w:r w:rsidR="00FB6523">
        <w:t xml:space="preserve">atmospheric measurements </w:t>
      </w:r>
      <w:r w:rsidR="002E0FEF">
        <w:t>platform</w:t>
      </w:r>
      <w:r w:rsidR="00FD7041">
        <w:t xml:space="preserve"> </w:t>
      </w:r>
      <w:r w:rsidR="00FD7041" w:rsidRPr="002E0FEF">
        <w:t>(</w:t>
      </w:r>
      <w:r w:rsidR="00FD7041">
        <w:fldChar w:fldCharType="begin"/>
      </w:r>
      <w:r w:rsidR="00FD7041">
        <w:instrText xml:space="preserve"> REF _Ref150821036 \h </w:instrText>
      </w:r>
      <w:r w:rsidR="00FD7041">
        <w:fldChar w:fldCharType="separate"/>
      </w:r>
      <w:r w:rsidR="00FD7041">
        <w:t xml:space="preserve">Figure </w:t>
      </w:r>
      <w:r w:rsidR="00FD7041">
        <w:rPr>
          <w:noProof/>
        </w:rPr>
        <w:t>3</w:t>
      </w:r>
      <w:r w:rsidR="00FD7041">
        <w:fldChar w:fldCharType="end"/>
      </w:r>
      <w:r w:rsidR="00FD7041" w:rsidRPr="002E0FEF">
        <w:t>)</w:t>
      </w:r>
      <w:r>
        <w:t xml:space="preserve">. The IMet-XQ2 is displaced around 20 cm (8 inches) ahead of the frame of the UAV and the MiniOFS is displaced around 15 cm (6 inches) to the rear. To avoid direct solar radiation and oversaturation, the MiniOFS is oriented horizontally with the optical receiver facing the ground. Per FAA </w:t>
      </w:r>
      <w:r>
        <w:lastRenderedPageBreak/>
        <w:t xml:space="preserve">regulations, any additional components outside of an approved UAV design must remain separate from the UAV electrical system. A 10000 </w:t>
      </w:r>
      <w:proofErr w:type="spellStart"/>
      <w:r>
        <w:t>mAh</w:t>
      </w:r>
      <w:proofErr w:type="spellEnd"/>
      <w:r>
        <w:t xml:space="preserve"> lithium-ion battery powers the Raspberry Pi 4B through an RPI </w:t>
      </w:r>
      <w:proofErr w:type="spellStart"/>
      <w:r w:rsidRPr="002712AD">
        <w:t>UPSPack</w:t>
      </w:r>
      <w:proofErr w:type="spellEnd"/>
      <w:r w:rsidRPr="002712AD">
        <w:t xml:space="preserve"> Standard V3P expansion board. All sensitive electronics are located within the UAV housing (</w:t>
      </w:r>
      <w:r w:rsidR="00FD66F4">
        <w:fldChar w:fldCharType="begin"/>
      </w:r>
      <w:r w:rsidR="00FD66F4">
        <w:instrText xml:space="preserve"> REF _Ref150821036 \h </w:instrText>
      </w:r>
      <w:r w:rsidR="00FD66F4">
        <w:fldChar w:fldCharType="separate"/>
      </w:r>
      <w:r w:rsidR="0010654D">
        <w:t>Fig</w:t>
      </w:r>
      <w:r w:rsidR="00FD7041">
        <w:t>ure</w:t>
      </w:r>
      <w:r w:rsidR="0010654D">
        <w:t xml:space="preserve">s. </w:t>
      </w:r>
      <w:r w:rsidR="0010654D">
        <w:rPr>
          <w:noProof/>
        </w:rPr>
        <w:t>3</w:t>
      </w:r>
      <w:r w:rsidR="00FD66F4">
        <w:fldChar w:fldCharType="end"/>
      </w:r>
      <w:r w:rsidR="003845BE">
        <w:t>,</w:t>
      </w:r>
      <w:r w:rsidR="003845BE">
        <w:fldChar w:fldCharType="begin"/>
      </w:r>
      <w:r w:rsidR="003845BE">
        <w:instrText xml:space="preserve"> REF _Ref152691807 \h </w:instrText>
      </w:r>
      <w:r w:rsidR="003845BE">
        <w:fldChar w:fldCharType="separate"/>
      </w:r>
      <w:r w:rsidR="0010654D">
        <w:t xml:space="preserve"> </w:t>
      </w:r>
      <w:r w:rsidR="0010654D">
        <w:rPr>
          <w:noProof/>
        </w:rPr>
        <w:t>4</w:t>
      </w:r>
      <w:r w:rsidR="003845BE">
        <w:fldChar w:fldCharType="end"/>
      </w:r>
      <w:r w:rsidRPr="002712AD">
        <w:t>)</w:t>
      </w:r>
      <w:r w:rsidR="000865E7">
        <w:t>.</w:t>
      </w:r>
    </w:p>
    <w:p w14:paraId="53914ED1" w14:textId="77777777" w:rsidR="004B6882" w:rsidRDefault="004B6882" w:rsidP="004B6882">
      <w:pPr>
        <w:pStyle w:val="Figure"/>
      </w:pPr>
      <w:r w:rsidRPr="004B6882">
        <w:drawing>
          <wp:inline distT="0" distB="0" distL="0" distR="0" wp14:anchorId="4B74C418" wp14:editId="62F2B45B">
            <wp:extent cx="5943600" cy="4195445"/>
            <wp:effectExtent l="0" t="0" r="0" b="0"/>
            <wp:docPr id="140511765" name="Picture 1" descr="A diagram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1765" name="Picture 1" descr="A diagram of a device&#10;&#10;Description automatically generated"/>
                    <pic:cNvPicPr/>
                  </pic:nvPicPr>
                  <pic:blipFill>
                    <a:blip r:embed="rId12"/>
                    <a:stretch>
                      <a:fillRect/>
                    </a:stretch>
                  </pic:blipFill>
                  <pic:spPr>
                    <a:xfrm>
                      <a:off x="0" y="0"/>
                      <a:ext cx="5943600" cy="4195445"/>
                    </a:xfrm>
                    <a:prstGeom prst="rect">
                      <a:avLst/>
                    </a:prstGeom>
                  </pic:spPr>
                </pic:pic>
              </a:graphicData>
            </a:graphic>
          </wp:inline>
        </w:drawing>
      </w:r>
    </w:p>
    <w:p w14:paraId="0F3FDCF3" w14:textId="502FA843" w:rsidR="0010654D" w:rsidRDefault="004B6882" w:rsidP="0010654D">
      <w:pPr>
        <w:pStyle w:val="FigureCaption"/>
        <w:rPr>
          <w:i w:val="0"/>
          <w:iCs w:val="0"/>
        </w:rPr>
      </w:pPr>
      <w:r>
        <w:t xml:space="preserve">Figure </w:t>
      </w:r>
      <w:r>
        <w:fldChar w:fldCharType="begin"/>
      </w:r>
      <w:r>
        <w:instrText xml:space="preserve"> SEQ Figure \* ARABIC </w:instrText>
      </w:r>
      <w:r>
        <w:fldChar w:fldCharType="separate"/>
      </w:r>
      <w:r w:rsidR="00E337FD">
        <w:rPr>
          <w:noProof/>
        </w:rPr>
        <w:t>3</w:t>
      </w:r>
      <w:r>
        <w:fldChar w:fldCharType="end"/>
      </w:r>
      <w:bookmarkStart w:id="34" w:name="_Toc152692032"/>
      <w:bookmarkStart w:id="35" w:name="_Toc150010613"/>
      <w:bookmarkStart w:id="36" w:name="_Toc150698139"/>
      <w:bookmarkStart w:id="37" w:name="_Toc150818400"/>
      <w:r>
        <w:t xml:space="preserve">. </w:t>
      </w:r>
      <w:r w:rsidRPr="002E0FEF">
        <w:t xml:space="preserve">A schematic representing the wiring and components of the </w:t>
      </w:r>
      <w:r>
        <w:t>Unmanned Aircraft Vehicle (</w:t>
      </w:r>
      <w:r w:rsidRPr="002E0FEF">
        <w:t>UAV</w:t>
      </w:r>
      <w:r>
        <w:t xml:space="preserve">) </w:t>
      </w:r>
      <w:r w:rsidRPr="002E0FEF">
        <w:t>based, atmospheric measurements system.</w:t>
      </w:r>
      <w:bookmarkEnd w:id="35"/>
      <w:r w:rsidRPr="002E0FEF">
        <w:t xml:space="preserve"> A Raspberry Pi 4B computer records and stores </w:t>
      </w:r>
      <w:proofErr w:type="spellStart"/>
      <w:r>
        <w:t>MinOFS</w:t>
      </w:r>
      <w:proofErr w:type="spellEnd"/>
      <w:r>
        <w:t xml:space="preserve"> and IMet-XQ2</w:t>
      </w:r>
      <w:r w:rsidRPr="002E0FEF">
        <w:t xml:space="preserve"> data through RS-232 serial transmission using a USB </w:t>
      </w:r>
      <w:r>
        <w:t>converter</w:t>
      </w:r>
      <w:r w:rsidRPr="002E0FEF">
        <w:t xml:space="preserve">.  A real-time clock module (model DS3231) attached to the Raspberry Pi 4B provides internal time synchronization during UAV missions when the Raspberry Pi 4B is disconnected from an internet source.  The 3.7-volt </w:t>
      </w:r>
      <w:r>
        <w:t>battery supply</w:t>
      </w:r>
      <w:r w:rsidRPr="002E0FEF">
        <w:t xml:space="preserve"> is transformed to a 5-volt output required for the Raspberry Pi 4B motherboard via the expansion board. Power for the IMet-XQ2 is provided via USB connection to the Raspberry Pi 4B. A separate rechargeable 12-volt battery powers the MiniOFS. Wiring connecting the instruments to the Raspberry Pi 4B within the UAV body utilizes a gap on the underside of the UAV frame.</w:t>
      </w:r>
      <w:bookmarkEnd w:id="34"/>
      <w:bookmarkEnd w:id="36"/>
      <w:bookmarkEnd w:id="37"/>
      <w:r w:rsidR="0010654D">
        <w:br w:type="page"/>
      </w:r>
    </w:p>
    <w:p w14:paraId="4F5ECD9C" w14:textId="77777777" w:rsidR="003F26DE" w:rsidRDefault="003F26DE" w:rsidP="003F26DE">
      <w:pPr>
        <w:pStyle w:val="Figure"/>
        <w:keepNext/>
      </w:pPr>
      <w:r>
        <w:lastRenderedPageBreak/>
        <w:drawing>
          <wp:inline distT="0" distB="0" distL="0" distR="0" wp14:anchorId="481861AA" wp14:editId="68B4E926">
            <wp:extent cx="4956464" cy="3746567"/>
            <wp:effectExtent l="38100" t="38100" r="15875" b="25400"/>
            <wp:docPr id="4" name="Picture 3" descr="A black object with wires on it&#10;&#10;Description automatically generated">
              <a:extLst xmlns:a="http://schemas.openxmlformats.org/drawingml/2006/main">
                <a:ext uri="{FF2B5EF4-FFF2-40B4-BE49-F238E27FC236}">
                  <a16:creationId xmlns:a16="http://schemas.microsoft.com/office/drawing/2014/main" id="{DACF5260-F94E-4110-2DB6-B061900320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lack object with wires on it&#10;&#10;Description automatically generated">
                      <a:extLst>
                        <a:ext uri="{FF2B5EF4-FFF2-40B4-BE49-F238E27FC236}">
                          <a16:creationId xmlns:a16="http://schemas.microsoft.com/office/drawing/2014/main" id="{DACF5260-F94E-4110-2DB6-B06190032080}"/>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12526" t="17165"/>
                    <a:stretch/>
                  </pic:blipFill>
                  <pic:spPr>
                    <a:xfrm>
                      <a:off x="0" y="0"/>
                      <a:ext cx="4958076" cy="3747786"/>
                    </a:xfrm>
                    <a:prstGeom prst="rect">
                      <a:avLst/>
                    </a:prstGeom>
                    <a:ln w="34925">
                      <a:solidFill>
                        <a:srgbClr val="00B050"/>
                      </a:solidFill>
                    </a:ln>
                  </pic:spPr>
                </pic:pic>
              </a:graphicData>
            </a:graphic>
          </wp:inline>
        </w:drawing>
      </w:r>
    </w:p>
    <w:p w14:paraId="1B47ACC6" w14:textId="0456EF5C" w:rsidR="003F26DE" w:rsidRPr="002712AD" w:rsidRDefault="003F26DE" w:rsidP="003845BE">
      <w:pPr>
        <w:pStyle w:val="FigureCaption"/>
        <w:rPr>
          <w:noProof/>
        </w:rPr>
      </w:pPr>
      <w:bookmarkStart w:id="38" w:name="_Ref152691807"/>
      <w:bookmarkStart w:id="39" w:name="_Toc152692033"/>
      <w:r>
        <w:t xml:space="preserve">Figure </w:t>
      </w:r>
      <w:r w:rsidR="00F208F0">
        <w:fldChar w:fldCharType="begin"/>
      </w:r>
      <w:r w:rsidR="00F208F0">
        <w:instrText xml:space="preserve"> SEQ Figure \* ARABIC </w:instrText>
      </w:r>
      <w:r w:rsidR="00F208F0">
        <w:fldChar w:fldCharType="separate"/>
      </w:r>
      <w:r w:rsidR="00E337FD">
        <w:rPr>
          <w:noProof/>
        </w:rPr>
        <w:t>4</w:t>
      </w:r>
      <w:r w:rsidR="00F208F0">
        <w:rPr>
          <w:noProof/>
        </w:rPr>
        <w:fldChar w:fldCharType="end"/>
      </w:r>
      <w:bookmarkEnd w:id="38"/>
      <w:r>
        <w:t xml:space="preserve">. </w:t>
      </w:r>
      <w:r w:rsidR="003845BE">
        <w:t>A picture showing the internal body of the</w:t>
      </w:r>
      <w:r w:rsidR="004B6882">
        <w:t xml:space="preserve"> Unmanned Aircraft Vehicle (UAV)</w:t>
      </w:r>
      <w:r w:rsidR="003845BE">
        <w:t>. The four lithium-ion batteries are displayed in silver, with the internal instrumentation/electrical components placed on top for image visualization. Normally, the internal wiring/electrical components are stored within the gaps of the UAV frame around the lithium-ion batteries.</w:t>
      </w:r>
      <w:bookmarkEnd w:id="39"/>
    </w:p>
    <w:p w14:paraId="124D9BB1" w14:textId="37B2BE11" w:rsidR="002908F5" w:rsidRDefault="002908F5" w:rsidP="003A7E1B">
      <w:pPr>
        <w:pStyle w:val="Heading3"/>
      </w:pPr>
      <w:bookmarkStart w:id="40" w:name="_Toc152692014"/>
      <w:r>
        <w:t>Ground-based Platform</w:t>
      </w:r>
      <w:bookmarkEnd w:id="40"/>
    </w:p>
    <w:p w14:paraId="76266D7F" w14:textId="0BDDAE40" w:rsidR="004B6882" w:rsidRDefault="005858D2" w:rsidP="004B6882">
      <w:pPr>
        <w:pStyle w:val="TextFormat"/>
      </w:pPr>
      <w:r>
        <w:t>A ground-based weather station was built to support UA</w:t>
      </w:r>
      <w:r w:rsidR="00150C67">
        <w:t>S</w:t>
      </w:r>
      <w:r>
        <w:t xml:space="preserve"> flight missions, hereby referred as the ‘tripod’ (</w:t>
      </w:r>
      <w:r w:rsidR="0010654D">
        <w:fldChar w:fldCharType="begin"/>
      </w:r>
      <w:r w:rsidR="0010654D">
        <w:instrText xml:space="preserve"> REF _Ref152692116 \h </w:instrText>
      </w:r>
      <w:r w:rsidR="0010654D">
        <w:fldChar w:fldCharType="separate"/>
      </w:r>
      <w:r w:rsidR="0010654D">
        <w:t xml:space="preserve">Figs. </w:t>
      </w:r>
      <w:r w:rsidR="0010654D">
        <w:rPr>
          <w:noProof/>
        </w:rPr>
        <w:t>5</w:t>
      </w:r>
      <w:r w:rsidR="0010654D">
        <w:fldChar w:fldCharType="end"/>
      </w:r>
      <w:r w:rsidR="003F26DE">
        <w:t>,</w:t>
      </w:r>
      <w:r w:rsidR="003F26DE">
        <w:fldChar w:fldCharType="begin"/>
      </w:r>
      <w:r w:rsidR="003F26DE">
        <w:instrText xml:space="preserve"> REF _Ref150821252 \h </w:instrText>
      </w:r>
      <w:r w:rsidR="003F26DE">
        <w:fldChar w:fldCharType="separate"/>
      </w:r>
      <w:r w:rsidR="0010654D">
        <w:t xml:space="preserve"> </w:t>
      </w:r>
      <w:r w:rsidR="0010654D">
        <w:rPr>
          <w:noProof/>
        </w:rPr>
        <w:t>6</w:t>
      </w:r>
      <w:r w:rsidR="003F26DE">
        <w:fldChar w:fldCharType="end"/>
      </w:r>
      <w:r>
        <w:t>). For the purposes of redundancy with respect to the UA</w:t>
      </w:r>
      <w:r w:rsidR="00B94E7F">
        <w:t>S</w:t>
      </w:r>
      <w:r>
        <w:t xml:space="preserve"> platform, IMetXQ2 and MiniOFS </w:t>
      </w:r>
      <w:r w:rsidR="005A4EE2">
        <w:t>instrumentation</w:t>
      </w:r>
      <w:r>
        <w:t xml:space="preserve"> provide ground-based verification for standard atmospheric and optical conditions.</w:t>
      </w:r>
      <w:r w:rsidR="002712AD">
        <w:t xml:space="preserve"> T</w:t>
      </w:r>
      <w:r>
        <w:t xml:space="preserve">he Raspberry Pi 4B requires a 5-volt power source and powers the IMet-XQ2 and R.M. Young Anemometer through USB connection. The MiniOFS requires a 12-volt power source and is connected separately. Power to the tripod instrumentation platform is facilitated through the nearby ICE building headquarters. All sensitive electronics and wiring are located within the camera box housing. A Raspberry Pi 4B camera module serves as visual confirmation of atmospheric phenomena and is situated towards the front of the housing </w:t>
      </w:r>
      <w:r>
        <w:lastRenderedPageBreak/>
        <w:t>interior. The MiniOFS</w:t>
      </w:r>
      <w:r w:rsidR="005A4EE2">
        <w:t xml:space="preserve"> </w:t>
      </w:r>
      <w:r>
        <w:t>is attached to the front exterior of the camera box housing with the optical receiver facing the horizon. The camera box housing is oriented to the north to satisfy oversaturation recommendations from the MiniOFS manufacturer. The ‘master’ half of the bridge is located adjacent to a westward-facing window within ICE headquarters. The ‘slave’ half of the bridge is located on the tripod above the camera box housing and is connected to the Raspberry Pi 4B through a wired ethernet connection. Internet availability allows remote access into the Raspberry Pi 4B computer for efficient software monitoring and maintenance.</w:t>
      </w:r>
      <w:r w:rsidR="004B6882">
        <w:br w:type="page"/>
      </w:r>
    </w:p>
    <w:p w14:paraId="43E66CCA" w14:textId="77777777" w:rsidR="003F26DE" w:rsidRDefault="003F26DE" w:rsidP="003F26DE">
      <w:pPr>
        <w:pStyle w:val="Figure"/>
        <w:keepNext/>
      </w:pPr>
      <w:r>
        <w:lastRenderedPageBreak/>
        <w:drawing>
          <wp:inline distT="0" distB="0" distL="0" distR="0" wp14:anchorId="652544E9" wp14:editId="61D186DE">
            <wp:extent cx="5016759" cy="5281698"/>
            <wp:effectExtent l="38100" t="38100" r="31750" b="33655"/>
            <wp:docPr id="3" name="Picture 2" descr="TripodAtICE2022-4.jpeg">
              <a:extLst xmlns:a="http://schemas.openxmlformats.org/drawingml/2006/main">
                <a:ext uri="{FF2B5EF4-FFF2-40B4-BE49-F238E27FC236}">
                  <a16:creationId xmlns:a16="http://schemas.microsoft.com/office/drawing/2014/main" id="{96215459-018C-893F-1B39-CF9C09A896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ripodAtICE2022-4.jpeg">
                      <a:extLst>
                        <a:ext uri="{FF2B5EF4-FFF2-40B4-BE49-F238E27FC236}">
                          <a16:creationId xmlns:a16="http://schemas.microsoft.com/office/drawing/2014/main" id="{96215459-018C-893F-1B39-CF9C09A896C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16759" cy="5281698"/>
                    </a:xfrm>
                    <a:prstGeom prst="rect">
                      <a:avLst/>
                    </a:prstGeom>
                    <a:noFill/>
                    <a:ln w="34925">
                      <a:solidFill>
                        <a:srgbClr val="00B050"/>
                      </a:solidFill>
                    </a:ln>
                    <a:extLst>
                      <a:ext uri="{909E8E84-426E-40DD-AFC4-6F175D3DCCD1}">
                        <a14:hiddenFill xmlns:a14="http://schemas.microsoft.com/office/drawing/2010/main">
                          <a:solidFill>
                            <a:srgbClr val="FFFFFF"/>
                          </a:solidFill>
                        </a14:hiddenFill>
                      </a:ext>
                    </a:extLst>
                  </pic:spPr>
                </pic:pic>
              </a:graphicData>
            </a:graphic>
          </wp:inline>
        </w:drawing>
      </w:r>
    </w:p>
    <w:p w14:paraId="3F7FE8EF" w14:textId="485BFCB7" w:rsidR="004B6882" w:rsidRDefault="003F26DE" w:rsidP="004B6882">
      <w:pPr>
        <w:pStyle w:val="FigureCaption"/>
        <w:rPr>
          <w:i w:val="0"/>
          <w:iCs w:val="0"/>
        </w:rPr>
      </w:pPr>
      <w:bookmarkStart w:id="41" w:name="_Ref152692116"/>
      <w:bookmarkStart w:id="42" w:name="_Toc152692034"/>
      <w:r>
        <w:t xml:space="preserve">Figure </w:t>
      </w:r>
      <w:r w:rsidR="00F208F0">
        <w:fldChar w:fldCharType="begin"/>
      </w:r>
      <w:r w:rsidR="00F208F0">
        <w:instrText xml:space="preserve"> SEQ Figure \* ARABIC </w:instrText>
      </w:r>
      <w:r w:rsidR="00F208F0">
        <w:fldChar w:fldCharType="separate"/>
      </w:r>
      <w:r w:rsidR="00E337FD">
        <w:rPr>
          <w:noProof/>
        </w:rPr>
        <w:t>5</w:t>
      </w:r>
      <w:r w:rsidR="00F208F0">
        <w:rPr>
          <w:noProof/>
        </w:rPr>
        <w:fldChar w:fldCharType="end"/>
      </w:r>
      <w:bookmarkEnd w:id="41"/>
      <w:r>
        <w:t>. A picture</w:t>
      </w:r>
      <w:r w:rsidR="00FD7041">
        <w:t xml:space="preserve"> showing</w:t>
      </w:r>
      <w:r>
        <w:t xml:space="preserve"> the ground-based tripod </w:t>
      </w:r>
      <w:r w:rsidR="00FD7041">
        <w:t>system</w:t>
      </w:r>
      <w:r>
        <w:t>. The IMet-XQ2 is located in black underneath the radiation sensor on the left side. The Young Anemometer is located at the top of the tripod. The MiniOFS is located at the front of the camera box, outside of view.</w:t>
      </w:r>
      <w:bookmarkEnd w:id="42"/>
      <w:r w:rsidR="00101F4A">
        <w:t xml:space="preserve"> Power to the system is supplied by Ice Crystal Engineering Headquarters through extension cords.</w:t>
      </w:r>
      <w:r w:rsidR="004B6882">
        <w:br w:type="page"/>
      </w:r>
    </w:p>
    <w:p w14:paraId="0ABEE91B" w14:textId="55163491" w:rsidR="00FD66F4" w:rsidRDefault="003F26DE" w:rsidP="001E6CCF">
      <w:pPr>
        <w:pStyle w:val="Figure"/>
      </w:pPr>
      <w:r>
        <w:lastRenderedPageBreak/>
        <w:t xml:space="preserve"> </w:t>
      </w:r>
      <w:r w:rsidR="001E6CCF" w:rsidRPr="001E6CCF">
        <w:drawing>
          <wp:inline distT="0" distB="0" distL="0" distR="0" wp14:anchorId="61BC5326" wp14:editId="1AE73CE7">
            <wp:extent cx="5943600" cy="3898900"/>
            <wp:effectExtent l="0" t="0" r="0" b="6350"/>
            <wp:docPr id="197801920"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1920" name="Picture 1" descr="A diagram of a computer&#10;&#10;Description automatically generated"/>
                    <pic:cNvPicPr/>
                  </pic:nvPicPr>
                  <pic:blipFill>
                    <a:blip r:embed="rId15"/>
                    <a:stretch>
                      <a:fillRect/>
                    </a:stretch>
                  </pic:blipFill>
                  <pic:spPr>
                    <a:xfrm>
                      <a:off x="0" y="0"/>
                      <a:ext cx="5943600" cy="3898900"/>
                    </a:xfrm>
                    <a:prstGeom prst="rect">
                      <a:avLst/>
                    </a:prstGeom>
                  </pic:spPr>
                </pic:pic>
              </a:graphicData>
            </a:graphic>
          </wp:inline>
        </w:drawing>
      </w:r>
    </w:p>
    <w:p w14:paraId="373049DA" w14:textId="0C791CA9" w:rsidR="00FD66F4" w:rsidRDefault="00FD66F4" w:rsidP="00F776DF">
      <w:pPr>
        <w:pStyle w:val="FigureCaption"/>
      </w:pPr>
      <w:bookmarkStart w:id="43" w:name="_Ref150821252"/>
      <w:bookmarkStart w:id="44" w:name="_Toc152692035"/>
      <w:r>
        <w:t xml:space="preserve">Figure </w:t>
      </w:r>
      <w:r w:rsidR="005858A3">
        <w:fldChar w:fldCharType="begin"/>
      </w:r>
      <w:r w:rsidR="005858A3">
        <w:instrText xml:space="preserve"> SEQ Figure \* ARABIC </w:instrText>
      </w:r>
      <w:r w:rsidR="005858A3">
        <w:fldChar w:fldCharType="separate"/>
      </w:r>
      <w:r w:rsidR="00E337FD">
        <w:rPr>
          <w:noProof/>
        </w:rPr>
        <w:t>6</w:t>
      </w:r>
      <w:r w:rsidR="005858A3">
        <w:rPr>
          <w:noProof/>
        </w:rPr>
        <w:fldChar w:fldCharType="end"/>
      </w:r>
      <w:bookmarkStart w:id="45" w:name="_Toc150698140"/>
      <w:bookmarkStart w:id="46" w:name="_Toc150818401"/>
      <w:bookmarkEnd w:id="43"/>
      <w:r w:rsidRPr="0057198B">
        <w:t xml:space="preserve">. Diagram showing the components of the tripod station. The IMet-XQ2 is situated within a radiation shield to protect the temperature and relative humidity sensors from moisture contamination and direct sunlight. Wind direction and wind speed are measured by an R.M. Young Anemometer (model 05103-5). A Raspberry Pi 4B computer records and stores instrument data. A </w:t>
      </w:r>
      <w:proofErr w:type="spellStart"/>
      <w:r w:rsidRPr="0057198B">
        <w:t>KuWFi</w:t>
      </w:r>
      <w:proofErr w:type="spellEnd"/>
      <w:r w:rsidRPr="0057198B">
        <w:t xml:space="preserve"> wireless bridge (</w:t>
      </w:r>
      <w:proofErr w:type="spellStart"/>
      <w:r w:rsidRPr="0057198B">
        <w:t>KuWFi</w:t>
      </w:r>
      <w:proofErr w:type="spellEnd"/>
      <w:r w:rsidRPr="0057198B">
        <w:t xml:space="preserve"> Technology Co., Ltd) provides internet to the Raspberry Pi 4B computer on the tripod The ‘master’ half of the </w:t>
      </w:r>
      <w:proofErr w:type="spellStart"/>
      <w:r w:rsidRPr="0057198B">
        <w:t>KuWFi</w:t>
      </w:r>
      <w:proofErr w:type="spellEnd"/>
      <w:r w:rsidRPr="0057198B">
        <w:t xml:space="preserve"> bridge is located near a westward facing window within ICE building headquarters and is designated to the upper-left of the dashed blue line.</w:t>
      </w:r>
      <w:bookmarkEnd w:id="45"/>
      <w:bookmarkEnd w:id="46"/>
      <w:bookmarkEnd w:id="44"/>
    </w:p>
    <w:p w14:paraId="2CA5E448" w14:textId="47855D99" w:rsidR="002908F5" w:rsidRDefault="002908F5" w:rsidP="003A7E1B">
      <w:pPr>
        <w:pStyle w:val="Heading3"/>
      </w:pPr>
      <w:bookmarkStart w:id="47" w:name="_Toc152692015"/>
      <w:r>
        <w:t>Data Acquisition</w:t>
      </w:r>
      <w:bookmarkEnd w:id="47"/>
    </w:p>
    <w:p w14:paraId="503C2DD0" w14:textId="7B0DE7AE" w:rsidR="005858D2" w:rsidRDefault="005858D2" w:rsidP="0057198B">
      <w:pPr>
        <w:pStyle w:val="TextFormat"/>
      </w:pPr>
      <w:r>
        <w:t xml:space="preserve">Data acquisition for all </w:t>
      </w:r>
      <w:r w:rsidR="00B94E7F">
        <w:t xml:space="preserve">instruments </w:t>
      </w:r>
      <w:r>
        <w:t>on the UAV and tripod occurs through</w:t>
      </w:r>
      <w:r w:rsidR="00B94E7F">
        <w:t xml:space="preserve"> digital data</w:t>
      </w:r>
      <w:r>
        <w:t xml:space="preserve"> transmission to a Raspberry Pi 4B. The IMetXQ2 and MiniOFS have direct RS-232 output, whereas analog signal from the R.M. Young Anemometer is converted to digital RS-232 output through a Cambell Scientific serial interface (model 32400). </w:t>
      </w:r>
      <w:r w:rsidR="000727F2">
        <w:t>The Airborne Data Processing And Analysis Software Package (ADPAA) is used to extract and process the data</w:t>
      </w:r>
      <w:r w:rsidR="000C6FF5">
        <w:t xml:space="preserve"> on both platforms</w:t>
      </w:r>
      <w:r w:rsidR="000727F2">
        <w:t xml:space="preserve"> (</w:t>
      </w:r>
      <w:r w:rsidR="000727F2">
        <w:fldChar w:fldCharType="begin"/>
      </w:r>
      <w:r w:rsidR="00AE2EC7">
        <w:instrText xml:space="preserve"> ADDIN ZOTERO_ITEM CSL_CITATION {"citationID":"hYc1nAVG","properties":{"formattedCitation":"(Delene 2011)","plainCitation":"(Delene 2011)","dontUpdate":true,"noteIndex":0},"citationItems":[{"id":165,"uris":["http://zotero.org/users/local/LzhHb4Ct/items/BXT5BNES"],"itemData":{"id":165,"type":"article-journal","abstract":"The practice of conducting quality control and quality assurance in the construction of data sets is often an overlooked and underestimated task of many research projects in the Earth Sciences. The development of software to effectively process and quickly analyze measurements is a critical aspect of a research project. An evolutionary approach has been used at the University of North Dakota to develop and implement software to process and analyze airborne measurements. Development over the past eight years has resulted in a collection of software named the Airborne Data Processing and Analysis (ADPAA) package which has been published as an open source project on Source Forge. The ADPAA package is intended to fully automate data processing while incorporating the concept of missing value codes and levels of data processing. At each data level, ADPAA utilizes a standard ASCII file format to store measurements from individual instruments into separate files. After all data levels have been processed, a summary file containing parameters of scientific interest for the field project is created for each aircraft flight. All project information is organized into a standard directory structure. ADPAA contains several tools that facilitate quality control procedures conducted on instruments during field projects and laboratory testing. Each quality control procedure is designed to ensure proper instrument performance and hence the validity of the instrument’s measurement. Data processing by ADPAA allows edit files to be created that are automatically used to insert missing value codes into a time period that had instrument problems. The creation of edit files is typically done after the completion of a field project when scientists are performing quality assurance of the data set. Since data processing is automatic, preliminary data can be created and analyzed within hours of an aircraft flight and a complete field project data set can be reprocessed many times during the quality assurance process. Once a final data set has been created, ADPAA provides several tools for visualization and analysis. In addition to aircraft data, ADPAA can be used on any data set that is based on time series measurements. The concepts illustrated by ADPAA and components of ADPAA, such as the Cplot visualization tool, are applicable to areas of Earth Science that work with time series measurements.","container-title":"Earth Science Informatics","DOI":"10.1007/s12145-010-0061-4","ISSN":"1865-0481","issue":"1","journalAbbreviation":"Earth Sci Inform","language":"en","page":"29-44","source":"Springer Link","title":"Airborne data processing and analysis software package","volume":"4","author":[{"family":"Delene","given":"David J."}],"issued":{"date-parts":[["2011",3,1]]}}}],"schema":"https://github.com/citation-style-language/schema/raw/master/csl-citation.json"} </w:instrText>
      </w:r>
      <w:r w:rsidR="000727F2">
        <w:fldChar w:fldCharType="separate"/>
      </w:r>
      <w:r w:rsidR="000727F2" w:rsidRPr="000727F2">
        <w:t>Delene 2011)</w:t>
      </w:r>
      <w:r w:rsidR="000727F2">
        <w:fldChar w:fldCharType="end"/>
      </w:r>
      <w:r w:rsidR="000727F2">
        <w:t xml:space="preserve">. The current version of ADPAA includes python-based instrument acquisition scripts that identify </w:t>
      </w:r>
      <w:r>
        <w:t>correct port and serial settings (</w:t>
      </w:r>
      <w:r>
        <w:fldChar w:fldCharType="begin"/>
      </w:r>
      <w:r>
        <w:instrText xml:space="preserve"> REF _Ref150076784 \h </w:instrText>
      </w:r>
      <w:r w:rsidR="0057198B">
        <w:instrText xml:space="preserve"> \* MERGEFORMAT </w:instrText>
      </w:r>
      <w:r>
        <w:fldChar w:fldCharType="separate"/>
      </w:r>
      <w:r w:rsidR="0010654D" w:rsidRPr="004B2754">
        <w:t xml:space="preserve">Table </w:t>
      </w:r>
      <w:r w:rsidR="0010654D">
        <w:rPr>
          <w:noProof/>
        </w:rPr>
        <w:t>4</w:t>
      </w:r>
      <w:r>
        <w:fldChar w:fldCharType="end"/>
      </w:r>
      <w:r>
        <w:t>)</w:t>
      </w:r>
      <w:r w:rsidR="000727F2">
        <w:t xml:space="preserve"> and simultaneously record and average </w:t>
      </w:r>
      <w:r w:rsidR="000727F2">
        <w:lastRenderedPageBreak/>
        <w:t>data every minute</w:t>
      </w:r>
      <w:r w:rsidR="00316BE8">
        <w:t xml:space="preserve"> </w:t>
      </w:r>
      <w:r>
        <w:t>(regardless of sampling rate)</w:t>
      </w:r>
      <w:r w:rsidR="00316BE8">
        <w:t xml:space="preserve">. </w:t>
      </w:r>
      <w:r>
        <w:t xml:space="preserve">For the tripod, averaged data is pushed to a Cloud Hosted Real-Time Data Services (CHORDS) server </w:t>
      </w:r>
      <w:r w:rsidR="00E5648D">
        <w:t>(</w:t>
      </w:r>
      <w:hyperlink r:id="rId16" w:history="1">
        <w:r w:rsidR="00E5648D" w:rsidRPr="00E32B01">
          <w:rPr>
            <w:rStyle w:val="Hyperlink"/>
          </w:rPr>
          <w:t>https://earthcubeprojects-chords.github.io/chords-docs</w:t>
        </w:r>
      </w:hyperlink>
      <w:r w:rsidR="00E5648D">
        <w:t xml:space="preserve">) </w:t>
      </w:r>
      <w:r>
        <w:t>through HTPP requests (</w:t>
      </w:r>
      <w:r w:rsidR="007E13B7">
        <w:fldChar w:fldCharType="begin"/>
      </w:r>
      <w:r w:rsidR="007E13B7">
        <w:instrText xml:space="preserve"> REF _Ref150821252 \h </w:instrText>
      </w:r>
      <w:r w:rsidR="007E13B7">
        <w:fldChar w:fldCharType="separate"/>
      </w:r>
      <w:r w:rsidR="0010654D">
        <w:t xml:space="preserve">Figure </w:t>
      </w:r>
      <w:r w:rsidR="0010654D">
        <w:rPr>
          <w:noProof/>
        </w:rPr>
        <w:t>6</w:t>
      </w:r>
      <w:r w:rsidR="007E13B7">
        <w:fldChar w:fldCharType="end"/>
      </w:r>
      <w:r>
        <w:t>). Data is subsequently visualized through real-time Grafana</w:t>
      </w:r>
      <w:r w:rsidR="000C6FF5">
        <w:t xml:space="preserve"> (</w:t>
      </w:r>
      <w:hyperlink r:id="rId17" w:history="1">
        <w:r w:rsidR="000C6FF5" w:rsidRPr="00E32B01">
          <w:rPr>
            <w:rStyle w:val="Hyperlink"/>
          </w:rPr>
          <w:t>https://grafana.com/grafana/dashboards</w:t>
        </w:r>
      </w:hyperlink>
      <w:r w:rsidR="000C6FF5">
        <w:t>)</w:t>
      </w:r>
      <w:r>
        <w:t xml:space="preserve"> open-source visualization </w:t>
      </w:r>
      <w:r w:rsidR="000C6FF5">
        <w:t>dashboards</w:t>
      </w:r>
      <w:r>
        <w:t>. For both platforms, data is stored on local date-de</w:t>
      </w:r>
      <w:r w:rsidR="00E5648D">
        <w:t>signated</w:t>
      </w:r>
      <w:r>
        <w:t xml:space="preserve"> files on the Raspberry Pi 4B computers.</w:t>
      </w:r>
    </w:p>
    <w:p w14:paraId="346976CB" w14:textId="589BB3A9" w:rsidR="000C6FF5" w:rsidRPr="000C6FF5" w:rsidRDefault="00E5648D" w:rsidP="00FD66F4">
      <w:pPr>
        <w:pStyle w:val="TableCaption"/>
      </w:pPr>
      <w:bookmarkStart w:id="48" w:name="_Ref150076784"/>
      <w:bookmarkStart w:id="49" w:name="_Toc150784681"/>
      <w:bookmarkStart w:id="50" w:name="_Toc150826342"/>
      <w:bookmarkStart w:id="51" w:name="_Toc152692072"/>
      <w:r w:rsidRPr="004B2754">
        <w:t xml:space="preserve">Table </w:t>
      </w:r>
      <w:r w:rsidR="005858A3">
        <w:fldChar w:fldCharType="begin"/>
      </w:r>
      <w:r w:rsidR="005858A3">
        <w:instrText xml:space="preserve"> SEQ Table \* ARABIC </w:instrText>
      </w:r>
      <w:r w:rsidR="005858A3">
        <w:fldChar w:fldCharType="separate"/>
      </w:r>
      <w:r w:rsidR="0010654D">
        <w:rPr>
          <w:noProof/>
        </w:rPr>
        <w:t>4</w:t>
      </w:r>
      <w:r w:rsidR="005858A3">
        <w:rPr>
          <w:noProof/>
        </w:rPr>
        <w:fldChar w:fldCharType="end"/>
      </w:r>
      <w:bookmarkEnd w:id="48"/>
      <w:r w:rsidRPr="004B2754">
        <w:t xml:space="preserve">: </w:t>
      </w:r>
      <w:r>
        <w:t>A table showing the s</w:t>
      </w:r>
      <w:r w:rsidRPr="004B2754">
        <w:t xml:space="preserve">erial </w:t>
      </w:r>
      <w:r>
        <w:t xml:space="preserve">and sampling rate configurations </w:t>
      </w:r>
      <w:r w:rsidRPr="004B2754">
        <w:t>for the IMet-XQ2, MiniOFS, and R.M. Young Anemometer.</w:t>
      </w:r>
      <w:bookmarkEnd w:id="49"/>
      <w:bookmarkEnd w:id="50"/>
      <w:bookmarkEnd w:id="51"/>
      <w:r w:rsidRPr="004B2754">
        <w:t xml:space="preserve"> </w:t>
      </w:r>
    </w:p>
    <w:tbl>
      <w:tblPr>
        <w:tblpPr w:bottomFromText="173" w:vertAnchor="text" w:horzAnchor="margin" w:tblpXSpec="center" w:tblpY="1"/>
        <w:tblOverlap w:val="never"/>
        <w:tblW w:w="9360" w:type="dxa"/>
        <w:tblLayout w:type="fixed"/>
        <w:tblCellMar>
          <w:left w:w="0" w:type="dxa"/>
          <w:right w:w="0" w:type="dxa"/>
        </w:tblCellMar>
        <w:tblLook w:val="04A0" w:firstRow="1" w:lastRow="0" w:firstColumn="1" w:lastColumn="0" w:noHBand="0" w:noVBand="1"/>
      </w:tblPr>
      <w:tblGrid>
        <w:gridCol w:w="1499"/>
        <w:gridCol w:w="1499"/>
        <w:gridCol w:w="1498"/>
        <w:gridCol w:w="1498"/>
        <w:gridCol w:w="1498"/>
        <w:gridCol w:w="1868"/>
      </w:tblGrid>
      <w:tr w:rsidR="000C6FF5" w:rsidRPr="004B2754" w14:paraId="06E0B347" w14:textId="77777777" w:rsidTr="001E6CCF">
        <w:trPr>
          <w:trHeight w:val="288"/>
        </w:trPr>
        <w:tc>
          <w:tcPr>
            <w:tcW w:w="145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FB661B3" w14:textId="77777777" w:rsidR="005858D2" w:rsidRPr="00316BE8" w:rsidRDefault="005858D2" w:rsidP="001E6CCF">
            <w:r w:rsidRPr="00316BE8">
              <w:t>Instrument</w:t>
            </w:r>
          </w:p>
        </w:tc>
        <w:tc>
          <w:tcPr>
            <w:tcW w:w="145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2CEE167" w14:textId="77777777" w:rsidR="005858D2" w:rsidRPr="00316BE8" w:rsidRDefault="005858D2" w:rsidP="001E6CCF">
            <w:proofErr w:type="spellStart"/>
            <w:r w:rsidRPr="00316BE8">
              <w:t>Baudrate</w:t>
            </w:r>
            <w:proofErr w:type="spellEnd"/>
          </w:p>
        </w:tc>
        <w:tc>
          <w:tcPr>
            <w:tcW w:w="145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5A9E9EF" w14:textId="77777777" w:rsidR="005858D2" w:rsidRPr="00316BE8" w:rsidRDefault="005858D2" w:rsidP="001E6CCF">
            <w:r w:rsidRPr="00316BE8">
              <w:t>Data Bits</w:t>
            </w:r>
          </w:p>
        </w:tc>
        <w:tc>
          <w:tcPr>
            <w:tcW w:w="145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2805488" w14:textId="77777777" w:rsidR="005858D2" w:rsidRPr="00316BE8" w:rsidRDefault="005858D2" w:rsidP="001E6CCF">
            <w:r w:rsidRPr="00316BE8">
              <w:t>Parity</w:t>
            </w:r>
          </w:p>
        </w:tc>
        <w:tc>
          <w:tcPr>
            <w:tcW w:w="145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037ED07" w14:textId="77777777" w:rsidR="005858D2" w:rsidRPr="00316BE8" w:rsidRDefault="005858D2" w:rsidP="001E6CCF">
            <w:r w:rsidRPr="00316BE8">
              <w:t>Stop Bit</w:t>
            </w:r>
          </w:p>
        </w:tc>
        <w:tc>
          <w:tcPr>
            <w:tcW w:w="1813"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C8CF6B1" w14:textId="4B28F71D" w:rsidR="005858D2" w:rsidRPr="00316BE8" w:rsidRDefault="005858D2" w:rsidP="001E6CCF">
            <w:r w:rsidRPr="00316BE8">
              <w:t>Sampling Rate</w:t>
            </w:r>
          </w:p>
        </w:tc>
      </w:tr>
      <w:tr w:rsidR="005858D2" w:rsidRPr="004B2754" w14:paraId="172BF083" w14:textId="77777777" w:rsidTr="001E6CCF">
        <w:trPr>
          <w:trHeight w:val="288"/>
        </w:trPr>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754A6F80" w14:textId="77777777" w:rsidR="005858D2" w:rsidRPr="00316BE8" w:rsidRDefault="005858D2" w:rsidP="00A64BCE">
            <w:r w:rsidRPr="00316BE8">
              <w:t>IMet-XQ2</w:t>
            </w:r>
          </w:p>
        </w:tc>
        <w:tc>
          <w:tcPr>
            <w:tcW w:w="1455" w:type="dxa"/>
            <w:tcBorders>
              <w:top w:val="nil"/>
              <w:left w:val="nil"/>
              <w:bottom w:val="single" w:sz="4" w:space="0" w:color="auto"/>
              <w:right w:val="single" w:sz="4" w:space="0" w:color="auto"/>
            </w:tcBorders>
            <w:shd w:val="clear" w:color="auto" w:fill="auto"/>
            <w:noWrap/>
            <w:vAlign w:val="center"/>
            <w:hideMark/>
          </w:tcPr>
          <w:p w14:paraId="43A470FE" w14:textId="7F85268F" w:rsidR="005858D2" w:rsidRPr="00316BE8" w:rsidRDefault="005858D2" w:rsidP="001E6CCF">
            <w:r w:rsidRPr="00316BE8">
              <w:t>57</w:t>
            </w:r>
            <w:r w:rsidR="0004022E" w:rsidRPr="00316BE8">
              <w:t>,</w:t>
            </w:r>
            <w:r w:rsidRPr="00316BE8">
              <w:t>600</w:t>
            </w:r>
            <w:r w:rsidR="002712AD" w:rsidRPr="00316BE8">
              <w:t xml:space="preserve"> bits/s</w:t>
            </w:r>
          </w:p>
        </w:tc>
        <w:tc>
          <w:tcPr>
            <w:tcW w:w="1454" w:type="dxa"/>
            <w:tcBorders>
              <w:top w:val="nil"/>
              <w:left w:val="nil"/>
              <w:bottom w:val="single" w:sz="4" w:space="0" w:color="auto"/>
              <w:right w:val="single" w:sz="4" w:space="0" w:color="auto"/>
            </w:tcBorders>
            <w:shd w:val="clear" w:color="auto" w:fill="auto"/>
            <w:noWrap/>
            <w:vAlign w:val="center"/>
            <w:hideMark/>
          </w:tcPr>
          <w:p w14:paraId="168FA4E8" w14:textId="77777777" w:rsidR="005858D2" w:rsidRPr="00316BE8" w:rsidRDefault="005858D2" w:rsidP="001E6CCF">
            <w:r w:rsidRPr="00316BE8">
              <w:t>8</w:t>
            </w:r>
          </w:p>
        </w:tc>
        <w:tc>
          <w:tcPr>
            <w:tcW w:w="1454" w:type="dxa"/>
            <w:tcBorders>
              <w:top w:val="nil"/>
              <w:left w:val="nil"/>
              <w:bottom w:val="single" w:sz="4" w:space="0" w:color="auto"/>
              <w:right w:val="single" w:sz="4" w:space="0" w:color="auto"/>
            </w:tcBorders>
            <w:shd w:val="clear" w:color="auto" w:fill="auto"/>
            <w:noWrap/>
            <w:vAlign w:val="center"/>
            <w:hideMark/>
          </w:tcPr>
          <w:p w14:paraId="1FB60996" w14:textId="77777777" w:rsidR="005858D2" w:rsidRPr="00316BE8" w:rsidRDefault="005858D2" w:rsidP="001E6CCF">
            <w:r w:rsidRPr="00316BE8">
              <w:t>No</w:t>
            </w:r>
          </w:p>
        </w:tc>
        <w:tc>
          <w:tcPr>
            <w:tcW w:w="1454" w:type="dxa"/>
            <w:tcBorders>
              <w:top w:val="nil"/>
              <w:left w:val="nil"/>
              <w:bottom w:val="single" w:sz="4" w:space="0" w:color="auto"/>
              <w:right w:val="single" w:sz="4" w:space="0" w:color="auto"/>
            </w:tcBorders>
            <w:shd w:val="clear" w:color="auto" w:fill="auto"/>
            <w:noWrap/>
            <w:vAlign w:val="center"/>
            <w:hideMark/>
          </w:tcPr>
          <w:p w14:paraId="259A86E7" w14:textId="77777777" w:rsidR="005858D2" w:rsidRPr="00316BE8" w:rsidRDefault="005858D2" w:rsidP="001E6CCF">
            <w:r w:rsidRPr="00316BE8">
              <w:t>1</w:t>
            </w:r>
          </w:p>
        </w:tc>
        <w:tc>
          <w:tcPr>
            <w:tcW w:w="1813" w:type="dxa"/>
            <w:tcBorders>
              <w:top w:val="nil"/>
              <w:left w:val="nil"/>
              <w:bottom w:val="single" w:sz="4" w:space="0" w:color="auto"/>
              <w:right w:val="single" w:sz="4" w:space="0" w:color="auto"/>
            </w:tcBorders>
            <w:shd w:val="clear" w:color="auto" w:fill="auto"/>
            <w:noWrap/>
            <w:vAlign w:val="center"/>
            <w:hideMark/>
          </w:tcPr>
          <w:p w14:paraId="3436035E" w14:textId="6EFA11FF" w:rsidR="005858D2" w:rsidRPr="00316BE8" w:rsidRDefault="005858D2" w:rsidP="001E6CCF">
            <w:r w:rsidRPr="00316BE8">
              <w:t>1</w:t>
            </w:r>
            <w:r w:rsidR="0004022E" w:rsidRPr="00316BE8">
              <w:t xml:space="preserve"> s</w:t>
            </w:r>
          </w:p>
        </w:tc>
      </w:tr>
      <w:tr w:rsidR="005858D2" w:rsidRPr="004B2754" w14:paraId="521C981E" w14:textId="77777777" w:rsidTr="001E6CCF">
        <w:trPr>
          <w:trHeight w:val="288"/>
        </w:trPr>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0BB69062" w14:textId="77777777" w:rsidR="005858D2" w:rsidRPr="00316BE8" w:rsidRDefault="005858D2" w:rsidP="00A64BCE">
            <w:r w:rsidRPr="00316BE8">
              <w:t>MiniOFS</w:t>
            </w:r>
          </w:p>
        </w:tc>
        <w:tc>
          <w:tcPr>
            <w:tcW w:w="1455" w:type="dxa"/>
            <w:tcBorders>
              <w:top w:val="nil"/>
              <w:left w:val="nil"/>
              <w:bottom w:val="single" w:sz="4" w:space="0" w:color="auto"/>
              <w:right w:val="single" w:sz="4" w:space="0" w:color="auto"/>
            </w:tcBorders>
            <w:shd w:val="clear" w:color="auto" w:fill="auto"/>
            <w:noWrap/>
            <w:vAlign w:val="center"/>
            <w:hideMark/>
          </w:tcPr>
          <w:p w14:paraId="75CDBB51" w14:textId="588A4109" w:rsidR="005858D2" w:rsidRPr="00316BE8" w:rsidRDefault="005858D2" w:rsidP="001E6CCF">
            <w:r w:rsidRPr="00316BE8">
              <w:t>1</w:t>
            </w:r>
            <w:r w:rsidR="0004022E" w:rsidRPr="00316BE8">
              <w:t>,</w:t>
            </w:r>
            <w:r w:rsidRPr="00316BE8">
              <w:t>200</w:t>
            </w:r>
            <w:r w:rsidR="002712AD" w:rsidRPr="00316BE8">
              <w:t xml:space="preserve"> bits/s</w:t>
            </w:r>
          </w:p>
        </w:tc>
        <w:tc>
          <w:tcPr>
            <w:tcW w:w="1454" w:type="dxa"/>
            <w:tcBorders>
              <w:top w:val="nil"/>
              <w:left w:val="nil"/>
              <w:bottom w:val="single" w:sz="4" w:space="0" w:color="auto"/>
              <w:right w:val="single" w:sz="4" w:space="0" w:color="auto"/>
            </w:tcBorders>
            <w:shd w:val="clear" w:color="auto" w:fill="auto"/>
            <w:noWrap/>
            <w:vAlign w:val="center"/>
            <w:hideMark/>
          </w:tcPr>
          <w:p w14:paraId="709809B5" w14:textId="77777777" w:rsidR="005858D2" w:rsidRPr="00316BE8" w:rsidRDefault="005858D2" w:rsidP="001E6CCF">
            <w:r w:rsidRPr="00316BE8">
              <w:t>8</w:t>
            </w:r>
          </w:p>
        </w:tc>
        <w:tc>
          <w:tcPr>
            <w:tcW w:w="1454" w:type="dxa"/>
            <w:tcBorders>
              <w:top w:val="nil"/>
              <w:left w:val="nil"/>
              <w:bottom w:val="single" w:sz="4" w:space="0" w:color="auto"/>
              <w:right w:val="single" w:sz="4" w:space="0" w:color="auto"/>
            </w:tcBorders>
            <w:shd w:val="clear" w:color="auto" w:fill="auto"/>
            <w:noWrap/>
            <w:vAlign w:val="center"/>
            <w:hideMark/>
          </w:tcPr>
          <w:p w14:paraId="13B96B8E" w14:textId="77777777" w:rsidR="005858D2" w:rsidRPr="00316BE8" w:rsidRDefault="005858D2" w:rsidP="001E6CCF">
            <w:r w:rsidRPr="00316BE8">
              <w:t>No</w:t>
            </w:r>
          </w:p>
        </w:tc>
        <w:tc>
          <w:tcPr>
            <w:tcW w:w="1454" w:type="dxa"/>
            <w:tcBorders>
              <w:top w:val="nil"/>
              <w:left w:val="nil"/>
              <w:bottom w:val="single" w:sz="4" w:space="0" w:color="auto"/>
              <w:right w:val="single" w:sz="4" w:space="0" w:color="auto"/>
            </w:tcBorders>
            <w:shd w:val="clear" w:color="auto" w:fill="auto"/>
            <w:noWrap/>
            <w:vAlign w:val="center"/>
            <w:hideMark/>
          </w:tcPr>
          <w:p w14:paraId="4B5FD15F" w14:textId="77777777" w:rsidR="005858D2" w:rsidRPr="00316BE8" w:rsidRDefault="005858D2" w:rsidP="001E6CCF">
            <w:r w:rsidRPr="00316BE8">
              <w:t>1</w:t>
            </w:r>
          </w:p>
        </w:tc>
        <w:tc>
          <w:tcPr>
            <w:tcW w:w="1813" w:type="dxa"/>
            <w:tcBorders>
              <w:top w:val="nil"/>
              <w:left w:val="nil"/>
              <w:bottom w:val="single" w:sz="4" w:space="0" w:color="auto"/>
              <w:right w:val="single" w:sz="4" w:space="0" w:color="auto"/>
            </w:tcBorders>
            <w:shd w:val="clear" w:color="auto" w:fill="auto"/>
            <w:noWrap/>
            <w:vAlign w:val="center"/>
            <w:hideMark/>
          </w:tcPr>
          <w:p w14:paraId="35EFF87D" w14:textId="6FFC0599" w:rsidR="005858D2" w:rsidRPr="00316BE8" w:rsidRDefault="005858D2" w:rsidP="001E6CCF">
            <w:r w:rsidRPr="00316BE8">
              <w:t>30</w:t>
            </w:r>
            <w:r w:rsidR="0004022E" w:rsidRPr="00316BE8">
              <w:t xml:space="preserve"> s</w:t>
            </w:r>
          </w:p>
        </w:tc>
      </w:tr>
      <w:tr w:rsidR="005858D2" w:rsidRPr="004B2754" w14:paraId="23EF1FA4" w14:textId="77777777" w:rsidTr="001E6CCF">
        <w:trPr>
          <w:trHeight w:val="288"/>
        </w:trPr>
        <w:tc>
          <w:tcPr>
            <w:tcW w:w="1455" w:type="dxa"/>
            <w:tcBorders>
              <w:top w:val="nil"/>
              <w:left w:val="single" w:sz="4" w:space="0" w:color="auto"/>
              <w:bottom w:val="single" w:sz="4" w:space="0" w:color="auto"/>
              <w:right w:val="single" w:sz="4" w:space="0" w:color="auto"/>
            </w:tcBorders>
            <w:shd w:val="clear" w:color="auto" w:fill="auto"/>
            <w:noWrap/>
            <w:vAlign w:val="bottom"/>
            <w:hideMark/>
          </w:tcPr>
          <w:p w14:paraId="2E04A665" w14:textId="77777777" w:rsidR="005858D2" w:rsidRPr="00316BE8" w:rsidRDefault="005858D2" w:rsidP="00A64BCE">
            <w:r w:rsidRPr="00316BE8">
              <w:t>Young</w:t>
            </w:r>
          </w:p>
        </w:tc>
        <w:tc>
          <w:tcPr>
            <w:tcW w:w="1455" w:type="dxa"/>
            <w:tcBorders>
              <w:top w:val="nil"/>
              <w:left w:val="nil"/>
              <w:bottom w:val="single" w:sz="4" w:space="0" w:color="auto"/>
              <w:right w:val="single" w:sz="4" w:space="0" w:color="auto"/>
            </w:tcBorders>
            <w:shd w:val="clear" w:color="auto" w:fill="auto"/>
            <w:noWrap/>
            <w:vAlign w:val="center"/>
            <w:hideMark/>
          </w:tcPr>
          <w:p w14:paraId="03702EF6" w14:textId="22AE58D1" w:rsidR="005858D2" w:rsidRPr="00316BE8" w:rsidRDefault="005858D2" w:rsidP="001E6CCF">
            <w:r w:rsidRPr="00316BE8">
              <w:t>9</w:t>
            </w:r>
            <w:r w:rsidR="0004022E" w:rsidRPr="00316BE8">
              <w:t>,</w:t>
            </w:r>
            <w:r w:rsidRPr="00316BE8">
              <w:t>600</w:t>
            </w:r>
            <w:r w:rsidR="002712AD" w:rsidRPr="00316BE8">
              <w:t xml:space="preserve"> bits/s</w:t>
            </w:r>
          </w:p>
        </w:tc>
        <w:tc>
          <w:tcPr>
            <w:tcW w:w="1454" w:type="dxa"/>
            <w:tcBorders>
              <w:top w:val="nil"/>
              <w:left w:val="nil"/>
              <w:bottom w:val="single" w:sz="4" w:space="0" w:color="auto"/>
              <w:right w:val="single" w:sz="4" w:space="0" w:color="auto"/>
            </w:tcBorders>
            <w:shd w:val="clear" w:color="auto" w:fill="auto"/>
            <w:noWrap/>
            <w:vAlign w:val="center"/>
            <w:hideMark/>
          </w:tcPr>
          <w:p w14:paraId="01C644AD" w14:textId="77777777" w:rsidR="005858D2" w:rsidRPr="00316BE8" w:rsidRDefault="005858D2" w:rsidP="001E6CCF">
            <w:r w:rsidRPr="00316BE8">
              <w:t>8</w:t>
            </w:r>
          </w:p>
        </w:tc>
        <w:tc>
          <w:tcPr>
            <w:tcW w:w="1454" w:type="dxa"/>
            <w:tcBorders>
              <w:top w:val="nil"/>
              <w:left w:val="nil"/>
              <w:bottom w:val="single" w:sz="4" w:space="0" w:color="auto"/>
              <w:right w:val="single" w:sz="4" w:space="0" w:color="auto"/>
            </w:tcBorders>
            <w:shd w:val="clear" w:color="auto" w:fill="auto"/>
            <w:noWrap/>
            <w:vAlign w:val="center"/>
            <w:hideMark/>
          </w:tcPr>
          <w:p w14:paraId="2E4541E4" w14:textId="77777777" w:rsidR="005858D2" w:rsidRPr="00316BE8" w:rsidRDefault="005858D2" w:rsidP="001E6CCF">
            <w:r w:rsidRPr="00316BE8">
              <w:t>No</w:t>
            </w:r>
          </w:p>
        </w:tc>
        <w:tc>
          <w:tcPr>
            <w:tcW w:w="1454" w:type="dxa"/>
            <w:tcBorders>
              <w:top w:val="nil"/>
              <w:left w:val="nil"/>
              <w:bottom w:val="single" w:sz="4" w:space="0" w:color="auto"/>
              <w:right w:val="single" w:sz="4" w:space="0" w:color="auto"/>
            </w:tcBorders>
            <w:shd w:val="clear" w:color="auto" w:fill="auto"/>
            <w:noWrap/>
            <w:vAlign w:val="center"/>
            <w:hideMark/>
          </w:tcPr>
          <w:p w14:paraId="31FDA5A4" w14:textId="77777777" w:rsidR="005858D2" w:rsidRPr="00316BE8" w:rsidRDefault="005858D2" w:rsidP="001E6CCF">
            <w:r w:rsidRPr="00316BE8">
              <w:t>1</w:t>
            </w:r>
          </w:p>
        </w:tc>
        <w:tc>
          <w:tcPr>
            <w:tcW w:w="1813" w:type="dxa"/>
            <w:tcBorders>
              <w:top w:val="nil"/>
              <w:left w:val="nil"/>
              <w:bottom w:val="single" w:sz="4" w:space="0" w:color="auto"/>
              <w:right w:val="single" w:sz="4" w:space="0" w:color="auto"/>
            </w:tcBorders>
            <w:shd w:val="clear" w:color="auto" w:fill="auto"/>
            <w:noWrap/>
            <w:vAlign w:val="center"/>
            <w:hideMark/>
          </w:tcPr>
          <w:p w14:paraId="6AC85EF0" w14:textId="03925B39" w:rsidR="005858D2" w:rsidRPr="00316BE8" w:rsidRDefault="005858D2" w:rsidP="001E6CCF">
            <w:r w:rsidRPr="00316BE8">
              <w:t>1</w:t>
            </w:r>
            <w:r w:rsidR="0004022E" w:rsidRPr="00316BE8">
              <w:t xml:space="preserve"> s</w:t>
            </w:r>
          </w:p>
        </w:tc>
      </w:tr>
    </w:tbl>
    <w:p w14:paraId="20A3CBD2" w14:textId="77777777" w:rsidR="0076353A" w:rsidRDefault="0076353A">
      <w:pPr>
        <w:rPr>
          <w:rFonts w:ascii="Times New Roman" w:hAnsi="Times New Roman" w:cs="Times New Roman"/>
          <w:b/>
          <w:bCs/>
          <w:sz w:val="24"/>
          <w:szCs w:val="24"/>
        </w:rPr>
      </w:pPr>
      <w:r>
        <w:br w:type="page"/>
      </w:r>
    </w:p>
    <w:p w14:paraId="6BDE2E02" w14:textId="27988144" w:rsidR="00C762C1" w:rsidRDefault="00591818" w:rsidP="008739B9">
      <w:pPr>
        <w:pStyle w:val="Heading1"/>
      </w:pPr>
      <w:bookmarkStart w:id="52" w:name="_Toc152692016"/>
      <w:r w:rsidRPr="00C762C1">
        <w:lastRenderedPageBreak/>
        <w:t>CHAPTER II</w:t>
      </w:r>
      <w:r w:rsidR="00164429">
        <w:t>I</w:t>
      </w:r>
      <w:r w:rsidRPr="00C762C1">
        <w:t>: METHODOLOGY</w:t>
      </w:r>
      <w:bookmarkStart w:id="53" w:name="_Toc150012014"/>
      <w:bookmarkStart w:id="54" w:name="_Toc150012015"/>
      <w:bookmarkEnd w:id="53"/>
      <w:bookmarkEnd w:id="54"/>
      <w:bookmarkEnd w:id="52"/>
    </w:p>
    <w:p w14:paraId="062A1FAF" w14:textId="2CB20513" w:rsidR="002908F5" w:rsidRPr="002908F5" w:rsidRDefault="002908F5" w:rsidP="003A7E1B">
      <w:pPr>
        <w:pStyle w:val="Heading3"/>
      </w:pPr>
      <w:bookmarkStart w:id="55" w:name="_Toc152692017"/>
      <w:r>
        <w:t>Fog Climatology</w:t>
      </w:r>
      <w:bookmarkEnd w:id="55"/>
    </w:p>
    <w:p w14:paraId="1DE1B5E6" w14:textId="5DF2A2C4" w:rsidR="00F776DF" w:rsidRDefault="00B919F7" w:rsidP="00F776DF">
      <w:pPr>
        <w:pStyle w:val="TextFormat"/>
      </w:pPr>
      <w:r>
        <w:t>The</w:t>
      </w:r>
      <w:r w:rsidR="00FE1148" w:rsidRPr="00DD1346">
        <w:t xml:space="preserve"> </w:t>
      </w:r>
      <w:r w:rsidR="00A651DF">
        <w:t>Red River Valley</w:t>
      </w:r>
      <w:r w:rsidR="00A651DF" w:rsidRPr="00DD1346">
        <w:t xml:space="preserve"> </w:t>
      </w:r>
      <w:r w:rsidR="00FE1148" w:rsidRPr="00DD1346">
        <w:t>represents a relative minimum in elevation within Manitoba, western Minnesota, eastern North Dakota, and far northeastern South Dakota</w:t>
      </w:r>
      <w:r w:rsidR="0032251C">
        <w:t xml:space="preserve"> </w:t>
      </w:r>
      <w:r w:rsidR="0032251C" w:rsidRPr="00711D15">
        <w:t>(</w:t>
      </w:r>
      <w:r w:rsidR="0032251C">
        <w:fldChar w:fldCharType="begin"/>
      </w:r>
      <w:r w:rsidR="0032251C">
        <w:instrText xml:space="preserve"> REF _Ref150821462 \h </w:instrText>
      </w:r>
      <w:r w:rsidR="0032251C">
        <w:fldChar w:fldCharType="separate"/>
      </w:r>
      <w:r w:rsidR="0032251C">
        <w:t xml:space="preserve">Figure </w:t>
      </w:r>
      <w:r w:rsidR="0032251C">
        <w:rPr>
          <w:noProof/>
        </w:rPr>
        <w:t>7</w:t>
      </w:r>
      <w:r w:rsidR="0032251C">
        <w:fldChar w:fldCharType="end"/>
      </w:r>
      <w:r w:rsidR="0032251C" w:rsidRPr="00711D15">
        <w:t>)</w:t>
      </w:r>
      <w:r w:rsidR="001E2A9E">
        <w:t xml:space="preserve">. </w:t>
      </w:r>
      <w:r w:rsidR="00FE1148" w:rsidRPr="00711D15">
        <w:t>In</w:t>
      </w:r>
      <w:r w:rsidR="00FE1148" w:rsidRPr="00DD1346">
        <w:t xml:space="preserve"> the United States, the </w:t>
      </w:r>
      <w:r w:rsidR="00A651DF">
        <w:t>Red River Valley</w:t>
      </w:r>
      <w:r w:rsidR="00A651DF" w:rsidRPr="00DD1346">
        <w:t xml:space="preserve"> </w:t>
      </w:r>
      <w:r w:rsidR="00FE1148" w:rsidRPr="00DD1346">
        <w:t>comprises the southernmost</w:t>
      </w:r>
      <w:r w:rsidR="00432DFC">
        <w:t xml:space="preserve"> </w:t>
      </w:r>
      <w:r w:rsidR="00FE1148" w:rsidRPr="00DD1346">
        <w:t xml:space="preserve">extent of the Lake </w:t>
      </w:r>
      <w:proofErr w:type="spellStart"/>
      <w:r w:rsidR="00FE1148" w:rsidRPr="00DD1346">
        <w:t>Aggasiz</w:t>
      </w:r>
      <w:proofErr w:type="spellEnd"/>
      <w:r w:rsidR="00FE1148" w:rsidRPr="00DD1346">
        <w:t xml:space="preserve"> basin, an ancient glacial lake formed by the scouring and subsequent </w:t>
      </w:r>
      <w:r>
        <w:t>me</w:t>
      </w:r>
      <w:r w:rsidR="00FE1148" w:rsidRPr="00DD1346">
        <w:t>lting of the most recent Pleistocene glaciation event</w:t>
      </w:r>
      <w:r w:rsidR="00FE1148">
        <w:t xml:space="preserve"> </w:t>
      </w:r>
      <w:r w:rsidR="00FE1148">
        <w:fldChar w:fldCharType="begin"/>
      </w:r>
      <w:r w:rsidR="00FE1148">
        <w:instrText xml:space="preserve"> ADDIN ZOTERO_ITEM CSL_CITATION {"citationID":"wRxg4q3o","properties":{"formattedCitation":"(Brooks 2017)","plainCitation":"(Brooks 2017)","noteIndex":0},"citationItems":[{"id":57,"uris":["http://zotero.org/users/local/LzhHb4Ct/items/SZCX9YMZ"],"itemData":{"id":57,"type":"chapter","abstract":"Located between the Manitoba Escarpment (known as the Pembina Escarpment in North Dakota) and a gentle topographic rise to late Quaternary glacial deposits, the Red River valley forms the southern extension of the Manitoba Lowlands. The dominant landform of the central valley is a low-relief clay plain composed of glacilacustrine deposits that accumulated in glacial Lake Agassiz. The north-flowing Red River is a low-energy, suspended sediment, mud-dominated, meandering stream that occupies a shallow stream-cut valley within the low-relief clay plain. Sedimentation along the convex banks of the meanders occurs as overbank and oblique accretion deposits. Significant sedimentation also occurs along the concave banks on the slopes of elongated zones of low-angled earth slides that are common along the river meanders between at least Emerson and St. Adolphe, Manitoba. The Red River is well known for its broad, slow-onset, spring floods. An array of artificial landforms have been constructed to mitigate the flooding hazard, ranging in scale from elevated pads and small ring dykes protecting isolated buildings, large ring dykes protecting towns, and the 48-km Red River Floodway that protects Winnipeg.","ISBN":"978-3-319-44593-9","note":"DOI: 10.1007/978-3-319-44595-3_10","page":"143-155","source":"ResearchGate","title":"Red River Valley, Manitoba: The Geomorphology of a Low-Relief, Flood-Prone Prairie Landscape","title-short":"Red River Valley, Manitoba","author":[{"family":"Brooks","given":"Gregory"}],"issued":{"date-parts":[["2017",12,1]]}}}],"schema":"https://github.com/citation-style-language/schema/raw/master/csl-citation.json"} </w:instrText>
      </w:r>
      <w:r w:rsidR="00FE1148">
        <w:fldChar w:fldCharType="separate"/>
      </w:r>
      <w:r w:rsidR="00FE1148" w:rsidRPr="00FE1148">
        <w:t>(Brooks 2017)</w:t>
      </w:r>
      <w:r w:rsidR="00FE1148">
        <w:fldChar w:fldCharType="end"/>
      </w:r>
      <w:r w:rsidR="00FE1148" w:rsidRPr="00DD1346">
        <w:t xml:space="preserve">. The topography of the </w:t>
      </w:r>
      <w:r w:rsidR="00A651DF">
        <w:t>Red River Valley</w:t>
      </w:r>
      <w:r w:rsidR="00A651DF" w:rsidRPr="00DD1346">
        <w:t xml:space="preserve"> </w:t>
      </w:r>
      <w:r w:rsidR="00FE1148" w:rsidRPr="00DD1346">
        <w:t xml:space="preserve">is therefore defined by its glacial origin; flat </w:t>
      </w:r>
      <w:r w:rsidR="006E2274">
        <w:t xml:space="preserve">and wide </w:t>
      </w:r>
      <w:r w:rsidR="00FE1148" w:rsidRPr="00DD1346">
        <w:t xml:space="preserve">expanses of low-elevation terrain surrounded </w:t>
      </w:r>
      <w:r>
        <w:t>b</w:t>
      </w:r>
      <w:r w:rsidR="00FE1148" w:rsidRPr="00DD1346">
        <w:t xml:space="preserve">y glacially unaffected higher </w:t>
      </w:r>
      <w:r w:rsidR="00FE1148" w:rsidRPr="00711D15">
        <w:t>rolling hills (</w:t>
      </w:r>
      <w:r w:rsidR="00F776DF">
        <w:fldChar w:fldCharType="begin"/>
      </w:r>
      <w:r w:rsidR="00F776DF">
        <w:instrText xml:space="preserve"> REF _Ref150821472 \h </w:instrText>
      </w:r>
      <w:r w:rsidR="00F776DF">
        <w:fldChar w:fldCharType="separate"/>
      </w:r>
      <w:r w:rsidR="0010654D">
        <w:t xml:space="preserve">Figure </w:t>
      </w:r>
      <w:r w:rsidR="0010654D">
        <w:rPr>
          <w:noProof/>
        </w:rPr>
        <w:t>8</w:t>
      </w:r>
      <w:r w:rsidR="00F776DF">
        <w:fldChar w:fldCharType="end"/>
      </w:r>
      <w:r w:rsidR="00FE1148" w:rsidRPr="00711D15">
        <w:t xml:space="preserve">). </w:t>
      </w:r>
      <w:r w:rsidR="006E2274">
        <w:t xml:space="preserve">The atypical shape </w:t>
      </w:r>
      <w:r w:rsidR="00FE1148" w:rsidRPr="00DD1346">
        <w:t>of the valley, combined with the young relative age of the Red River, creates an ideal location for seasonal flooding</w:t>
      </w:r>
      <w:r w:rsidR="002976D4">
        <w:t xml:space="preserve"> </w:t>
      </w:r>
      <w:r w:rsidR="002976D4">
        <w:fldChar w:fldCharType="begin"/>
      </w:r>
      <w:r w:rsidR="002976D4">
        <w:instrText xml:space="preserve"> ADDIN ZOTERO_ITEM CSL_CITATION {"citationID":"YWskvZ4N","properties":{"formattedCitation":"(Burn and Goel 2001)","plainCitation":"(Burn and Goel 2001)","noteIndex":0},"citationItems":[{"id":62,"uris":["http://zotero.org/users/local/LzhHb4Ct/items/L68HN84P"],"itemData":{"id":62,"type":"article-journal","abstract":"This paper reviews the flood frequency characteristics of the Red River at Winnipeg. The impacts of persistence in the flood series on estimates of flood quantiles and their associated confidence intervals are examined. This is done by generating a large number of data sequences using a mixed noise model that preserves the short-term and long-term correlation structures of the observed flood series. The results reveal that persistence in the data series can lead to a slight increase in the expected flood magnitude for a given return period. More importantly, persistence is shown to dramatically increase the uncertainty associated with estimated flood quantiles. The 117-year flood series for the Red River at Winnipeg is demonstrated to be equivalent to roughly 45 years of independent data.Key words: flood frequency, extreme events, simulation, historical data.","container-title":"Canadian Journal of Civil Engineering","DOI":"10.1139/l00-122","ISSN":"0315-1468","issue":"3","journalAbbreviation":"Can. J. Civ. Eng.","note":"publisher: NRC Research Press","page":"355-362","source":"cdnsciencepub.com (Atypon)","title":"Flood frequency analysis for the Red River at Winnipeg","volume":"28","author":[{"family":"Burn","given":"Donald H"},{"family":"Goel","given":"N K"}],"issued":{"date-parts":[["2001",6]]}}}],"schema":"https://github.com/citation-style-language/schema/raw/master/csl-citation.json"} </w:instrText>
      </w:r>
      <w:r w:rsidR="002976D4">
        <w:fldChar w:fldCharType="separate"/>
      </w:r>
      <w:r w:rsidR="002976D4" w:rsidRPr="002976D4">
        <w:t>(Burn and Goel 2001)</w:t>
      </w:r>
      <w:r w:rsidR="002976D4">
        <w:fldChar w:fldCharType="end"/>
      </w:r>
      <w:r w:rsidR="00FE1148" w:rsidRPr="00DD1346">
        <w:t>, wintertime blizzards</w:t>
      </w:r>
      <w:r w:rsidR="002976D4">
        <w:t xml:space="preserve"> </w:t>
      </w:r>
      <w:r w:rsidR="002976D4">
        <w:fldChar w:fldCharType="begin"/>
      </w:r>
      <w:r w:rsidR="00432DFC">
        <w:instrText xml:space="preserve"> ADDIN ZOTERO_ITEM CSL_CITATION {"citationID":"KNZnlf7d","properties":{"formattedCitation":"(Kennedy et al. 2019)","plainCitation":"(Kennedy et al. 2019)","noteIndex":0},"citationItems":[{"id":60,"uris":["http://zotero.org/users/local/LzhHb4Ct/items/LZRES8AR"],"itemData":{"id":60,"type":"article-journal","abstract":"Stretching along the border of North Dakota and Minnesota, The Red River Valley (RRV) of the North has the highest frequency of reported blizzards within the contiguous United States. Despite the numerous impacts these events have, few systematic studies exist that discuss the meteorological properties of blizzards. As a result, forecasting these events and lesser blowing snow events is an ongoing challenge. This study presents a climatology of atmospheric patterns associated with RRV blizzards for the winter seasons of 1979–1980 and 2017–2018. Patterns were identified using subjective and objective techniques using meteorological fields from the North American Regional Re-analysis (NARR). The RRV experiences, on average, 2.6 events per year. Blizzard frequency is bimodal, with peaks occurring in December and March. The events can largely be typed into four meteorological categories dependent on the forcing that drives the blizzard: Alberta Clippers, Arctic Fronts, Colorado Lows, and Hybrids. The objective classification of these blizzards using a competitive neural network known as the Self-Organizing Map (SOM) demonstrates that gross segregation of the events can be achieved with a small (eight-class) map. This implies that objective analysis techniques can be used to identify these events in weather and climate model output that may aid future forecasting and risk assessment projects.","container-title":"Climate","DOI":"10.3390/cli7050066","ISSN":"2225-1154","issue":"5","language":"en","license":"http://creativecommons.org/licenses/by/3.0/","note":"number: 5\npublisher: Multidisciplinary Digital Publishing Institute","page":"66","source":"www.mdpi.com","title":"A Climatology of Atmospheric Patterns Associated with Red River Valley Blizzards","volume":"7","author":[{"family":"Kennedy","given":"Aaron"},{"family":"Trellinger","given":"Alexander"},{"family":"Grafenauer","given":"Thomas"},{"family":"Gust","given":"Gregory"}],"issued":{"date-parts":[["2019",5]]}}}],"schema":"https://github.com/citation-style-language/schema/raw/master/csl-citation.json"} </w:instrText>
      </w:r>
      <w:r w:rsidR="002976D4">
        <w:fldChar w:fldCharType="separate"/>
      </w:r>
      <w:r w:rsidR="00432DFC" w:rsidRPr="00432DFC">
        <w:t>(Kennedy et al. 2019)</w:t>
      </w:r>
      <w:r w:rsidR="002976D4">
        <w:fldChar w:fldCharType="end"/>
      </w:r>
      <w:r w:rsidR="00FE1148" w:rsidRPr="00DD1346">
        <w:t xml:space="preserve">, and fog potential </w:t>
      </w:r>
      <w:r w:rsidR="00FE1148" w:rsidRPr="00DD1346">
        <w:fldChar w:fldCharType="begin"/>
      </w:r>
      <w:r w:rsidR="005A73A8">
        <w:instrText xml:space="preserve"> ADDIN ZOTERO_ITEM CSL_CITATION {"citationID":"7tG1INih","properties":{"formattedCitation":"(Burn and Goel 2001; Kennedy et al. 2019; Haase 2007)","plainCitation":"(Burn and Goel 2001; Kennedy et al. 2019; Haase 2007)","dontUpdate":true,"noteIndex":0},"citationItems":[{"id":62,"uris":["http://zotero.org/users/local/LzhHb4Ct/items/L68HN84P"],"itemData":{"id":62,"type":"article-journal","abstract":"This paper reviews the flood frequency characteristics of the Red River at Winnipeg. The impacts of persistence in the flood series on estimates of flood quantiles and their associated confidence intervals are examined. This is done by generating a large number of data sequences using a mixed noise model that preserves the short-term and long-term correlation structures of the observed flood series. The results reveal that persistence in the data series can lead to a slight increase in the expected flood magnitude for a given return period. More importantly, persistence is shown to dramatically increase the uncertainty associated with estimated flood quantiles. The 117-year flood series for the Red River at Winnipeg is demonstrated to be equivalent to roughly 45 years of independent data.Key words: flood frequency, extreme events, simulation, historical data.","container-title":"Canadian Journal of Civil Engineering","DOI":"10.1139/l00-122","ISSN":"0315-1468","issue":"3","journalAbbreviation":"Can. J. Civ. Eng.","note":"publisher: NRC Research Press","page":"355-362","source":"cdnsciencepub.com (Atypon)","title":"Flood frequency analysis for the Red River at Winnipeg","volume":"28","author":[{"family":"Burn","given":"Donald H"},{"family":"Goel","given":"N K"}],"issued":{"date-parts":[["2001",6]]}}},{"id":60,"uris":["http://zotero.org/users/local/LzhHb4Ct/items/LZRES8AR"],"itemData":{"id":60,"type":"article-journal","abstract":"Stretching along the border of North Dakota and Minnesota, The Red River Valley (RRV) of the North has the highest frequency of reported blizzards within the contiguous United States. Despite the numerous impacts these events have, few systematic studies exist that discuss the meteorological properties of blizzards. As a result, forecasting these events and lesser blowing snow events is an ongoing challenge. This study presents a climatology of atmospheric patterns associated with RRV blizzards for the winter seasons of 1979–1980 and 2017–2018. Patterns were identified using subjective and objective techniques using meteorological fields from the North American Regional Re-analysis (NARR). The RRV experiences, on average, 2.6 events per year. Blizzard frequency is bimodal, with peaks occurring in December and March. The events can largely be typed into four meteorological categories dependent on the forcing that drives the blizzard: Alberta Clippers, Arctic Fronts, Colorado Lows, and Hybrids. The objective classification of these blizzards using a competitive neural network known as the Self-Organizing Map (SOM) demonstrates that gross segregation of the events can be achieved with a small (eight-class) map. This implies that objective analysis techniques can be used to identify these events in weather and climate model output that may aid future forecasting and risk assessment projects.","container-title":"Climate","DOI":"10.3390/cli7050066","ISSN":"2225-1154","issue":"5","language":"en","license":"http://creativecommons.org/licenses/by/3.0/","note":"number: 5\npublisher: Multidisciplinary Digital Publishing Institute","page":"66","source":"www.mdpi.com","title":"A Climatology of Atmospheric Patterns Associated with Red River Valley Blizzards","volume":"7","author":[{"family":"Kennedy","given":"Aaron"},{"family":"Trellinger","given":"Alexander"},{"family":"Grafenauer","given":"Thomas"},{"family":"Gust","given":"Gregory"}],"issued":{"date-parts":[["2019",5]]}}},{"id":64,"uris":["http://zotero.org/users/local/LzhHb4Ct/items/Q83FIBDC"],"itemData":{"id":64,"type":"document","publisher":"Pennsylvania State University","title":"A Climatology of LIFR Conditions in the Upper Midwest Stratified by Type of Weather","author":[{"family":"Haase","given":"John"}],"issued":{"date-parts":[["2007",1]]}}}],"schema":"https://github.com/citation-style-language/schema/raw/master/csl-citation.json"} </w:instrText>
      </w:r>
      <w:r w:rsidR="00FE1148" w:rsidRPr="00DD1346">
        <w:fldChar w:fldCharType="separate"/>
      </w:r>
      <w:r w:rsidR="00FE1148" w:rsidRPr="00DD1346">
        <w:t>(Haase 2007)</w:t>
      </w:r>
      <w:r w:rsidR="00FE1148" w:rsidRPr="00DD1346">
        <w:fldChar w:fldCharType="end"/>
      </w:r>
      <w:r w:rsidR="00FE1148" w:rsidRPr="00DD1346">
        <w:t>.</w:t>
      </w:r>
    </w:p>
    <w:p w14:paraId="301FE5A9" w14:textId="77777777" w:rsidR="00E337FD" w:rsidRDefault="00E337FD" w:rsidP="00E337FD">
      <w:pPr>
        <w:pStyle w:val="Figure"/>
        <w:keepNext/>
      </w:pPr>
      <w:r>
        <w:lastRenderedPageBreak/>
        <w:drawing>
          <wp:inline distT="0" distB="0" distL="0" distR="0" wp14:anchorId="558AA3FF" wp14:editId="77E0A11B">
            <wp:extent cx="5943600" cy="4215765"/>
            <wp:effectExtent l="0" t="0" r="0" b="0"/>
            <wp:docPr id="1784832088" name="Picture 1" descr="A map of the north and south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832088" name="Picture 1" descr="A map of the north and south of the united states&#10;&#10;Description automatically generated"/>
                    <pic:cNvPicPr/>
                  </pic:nvPicPr>
                  <pic:blipFill>
                    <a:blip r:embed="rId18"/>
                    <a:stretch>
                      <a:fillRect/>
                    </a:stretch>
                  </pic:blipFill>
                  <pic:spPr>
                    <a:xfrm>
                      <a:off x="0" y="0"/>
                      <a:ext cx="5943600" cy="4215765"/>
                    </a:xfrm>
                    <a:prstGeom prst="rect">
                      <a:avLst/>
                    </a:prstGeom>
                  </pic:spPr>
                </pic:pic>
              </a:graphicData>
            </a:graphic>
          </wp:inline>
        </w:drawing>
      </w:r>
    </w:p>
    <w:p w14:paraId="27AFE312" w14:textId="4FCAB2CE" w:rsidR="00F776DF" w:rsidRDefault="00E337FD" w:rsidP="00E337FD">
      <w:pPr>
        <w:pStyle w:val="FigureCaption"/>
      </w:pPr>
      <w:r>
        <w:t xml:space="preserve">Figure </w:t>
      </w:r>
      <w:fldSimple w:instr=" SEQ Figure \* ARABIC ">
        <w:r>
          <w:rPr>
            <w:noProof/>
          </w:rPr>
          <w:t>7</w:t>
        </w:r>
      </w:fldSimple>
      <w:bookmarkStart w:id="56" w:name="_Toc152692036"/>
      <w:bookmarkStart w:id="57" w:name="_Toc150698141"/>
      <w:bookmarkStart w:id="58" w:name="_Toc150818402"/>
      <w:r>
        <w:t>.</w:t>
      </w:r>
      <w:r w:rsidRPr="00031A17">
        <w:t xml:space="preserve"> A topographic map </w:t>
      </w:r>
      <w:r>
        <w:t>showing</w:t>
      </w:r>
      <w:r w:rsidRPr="00031A17">
        <w:t xml:space="preserve"> the Red River Valley of eastern North Dakota and western Minnesota. Locations designated by a red dot </w:t>
      </w:r>
      <w:r>
        <w:t>are sites used for</w:t>
      </w:r>
      <w:r w:rsidRPr="00031A17">
        <w:t xml:space="preserve"> a 30-year climatological analysis and include Grand Forks International Airport (KGFK), Grand Forks Air Force Base (KRDR), Hector International Airport (KFAR), and Jamestown Regional Airport (KJMS). The location designated by a black dot represents Ice Crystal Engineering headquarters (ICE). The three east-west oriented, black-dotted lines represent cross-sections visualized in </w:t>
      </w:r>
      <w:r>
        <w:fldChar w:fldCharType="begin"/>
      </w:r>
      <w:r>
        <w:instrText xml:space="preserve"> REF _Ref150821472 \h </w:instrText>
      </w:r>
      <w:r>
        <w:fldChar w:fldCharType="separate"/>
      </w:r>
      <w:r>
        <w:t xml:space="preserve">Figure </w:t>
      </w:r>
      <w:r>
        <w:rPr>
          <w:noProof/>
        </w:rPr>
        <w:t>8</w:t>
      </w:r>
      <w:r>
        <w:fldChar w:fldCharType="end"/>
      </w:r>
      <w:r w:rsidRPr="00031A17">
        <w:t>. Topographic data is provided by the United States Geologic Survey.</w:t>
      </w:r>
      <w:bookmarkEnd w:id="56"/>
      <w:bookmarkEnd w:id="57"/>
      <w:bookmarkEnd w:id="58"/>
    </w:p>
    <w:p w14:paraId="1198E18B" w14:textId="77777777" w:rsidR="00F776DF" w:rsidRDefault="00F776DF" w:rsidP="00F776DF">
      <w:pPr>
        <w:pStyle w:val="Figure"/>
        <w:keepNext/>
      </w:pPr>
      <w:bookmarkStart w:id="59" w:name="_Toc150010611"/>
      <w:bookmarkStart w:id="60" w:name="_Toc150698142"/>
      <w:bookmarkStart w:id="61" w:name="_Toc150818403"/>
      <w:bookmarkStart w:id="62" w:name="_Ref147165880"/>
      <w:r>
        <w:drawing>
          <wp:inline distT="0" distB="0" distL="0" distR="0" wp14:anchorId="6993B26E" wp14:editId="22D3CDF8">
            <wp:extent cx="5943600" cy="4416425"/>
            <wp:effectExtent l="0" t="0" r="0" b="3175"/>
            <wp:docPr id="833317777" name="Picture 833317777"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317777" name="Picture 1" descr="A graph of a graph of a graph&#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16425"/>
                    </a:xfrm>
                    <a:prstGeom prst="rect">
                      <a:avLst/>
                    </a:prstGeom>
                  </pic:spPr>
                </pic:pic>
              </a:graphicData>
            </a:graphic>
          </wp:inline>
        </w:drawing>
      </w:r>
    </w:p>
    <w:p w14:paraId="4B195814" w14:textId="3734AAB5" w:rsidR="00F776DF" w:rsidRDefault="00F776DF" w:rsidP="00F776DF">
      <w:pPr>
        <w:pStyle w:val="FigureCaption"/>
        <w:rPr>
          <w:noProof/>
        </w:rPr>
      </w:pPr>
      <w:bookmarkStart w:id="63" w:name="_Ref150821472"/>
      <w:bookmarkStart w:id="64" w:name="_Toc152692037"/>
      <w:r>
        <w:t xml:space="preserve">Figure </w:t>
      </w:r>
      <w:r w:rsidR="005858A3">
        <w:fldChar w:fldCharType="begin"/>
      </w:r>
      <w:r w:rsidR="005858A3">
        <w:instrText xml:space="preserve"> SEQ Figure \* ARABIC </w:instrText>
      </w:r>
      <w:r w:rsidR="005858A3">
        <w:fldChar w:fldCharType="separate"/>
      </w:r>
      <w:r w:rsidR="00E337FD">
        <w:rPr>
          <w:noProof/>
        </w:rPr>
        <w:t>8</w:t>
      </w:r>
      <w:r w:rsidR="005858A3">
        <w:rPr>
          <w:noProof/>
        </w:rPr>
        <w:fldChar w:fldCharType="end"/>
      </w:r>
      <w:bookmarkEnd w:id="63"/>
      <w:r>
        <w:t>.</w:t>
      </w:r>
      <w:r w:rsidRPr="00031A17">
        <w:t xml:space="preserve"> Three east-west topographic cross-sections located at the dotted lines in </w:t>
      </w:r>
      <w:r w:rsidR="001E6CCF">
        <w:fldChar w:fldCharType="begin"/>
      </w:r>
      <w:r w:rsidR="001E6CCF">
        <w:instrText xml:space="preserve"> REF _Ref150821462 \h </w:instrText>
      </w:r>
      <w:r w:rsidR="001E6CCF">
        <w:fldChar w:fldCharType="separate"/>
      </w:r>
      <w:r w:rsidR="001E6CCF">
        <w:t xml:space="preserve">Figure </w:t>
      </w:r>
      <w:r w:rsidR="001E6CCF">
        <w:rPr>
          <w:noProof/>
        </w:rPr>
        <w:t>7</w:t>
      </w:r>
      <w:r w:rsidR="001E6CCF">
        <w:fldChar w:fldCharType="end"/>
      </w:r>
      <w:r w:rsidR="001E6CCF">
        <w:t>.</w:t>
      </w:r>
      <w:r w:rsidRPr="00031A17">
        <w:t xml:space="preserve"> The cross-section latitudes (top to bottom) are centered at Grand Forks International Airport (GFK) 47.9429°N, Hector International Airport (FAR) 46.9218°N, and Jamestown Regional Airport (JMS) 46.6784°N. The latitudes of RDR and JMS, while not identical to those of GFK and FAR respectively, are close </w:t>
      </w:r>
      <w:proofErr w:type="gramStart"/>
      <w:r w:rsidR="003A26E0">
        <w:t>approximations.</w:t>
      </w:r>
      <w:r w:rsidRPr="00031A17">
        <w:t>.</w:t>
      </w:r>
      <w:bookmarkEnd w:id="64"/>
      <w:proofErr w:type="gramEnd"/>
    </w:p>
    <w:bookmarkEnd w:id="59"/>
    <w:bookmarkEnd w:id="60"/>
    <w:bookmarkEnd w:id="61"/>
    <w:bookmarkEnd w:id="62"/>
    <w:p w14:paraId="0E76D830" w14:textId="6B8E15A5" w:rsidR="00960580" w:rsidRDefault="004928BA" w:rsidP="007E13B7">
      <w:pPr>
        <w:pStyle w:val="TextFormat"/>
      </w:pPr>
      <w:r>
        <w:t xml:space="preserve">While the diurnal bias towards morning fog formation is well understood, literature and data on seasonal fog climatology in the </w:t>
      </w:r>
      <w:r w:rsidR="00A651DF">
        <w:t xml:space="preserve">Red River Valley </w:t>
      </w:r>
      <w:r>
        <w:t xml:space="preserve">is limited. </w:t>
      </w:r>
      <w:r w:rsidR="00F3793F">
        <w:t xml:space="preserve">To that end, fog </w:t>
      </w:r>
      <w:proofErr w:type="spellStart"/>
      <w:r w:rsidR="00F3793F">
        <w:t>climatologies</w:t>
      </w:r>
      <w:proofErr w:type="spellEnd"/>
      <w:r w:rsidR="00F3793F">
        <w:t xml:space="preserve"> are produced f</w:t>
      </w:r>
      <w:r w:rsidR="007B00AB">
        <w:t>rom</w:t>
      </w:r>
      <w:r w:rsidR="00F3793F">
        <w:t xml:space="preserve"> Red River Valley automated surface observing system (ASOS) stations </w:t>
      </w:r>
      <w:r w:rsidR="00B33CEA">
        <w:t xml:space="preserve">using </w:t>
      </w:r>
      <w:r w:rsidR="00FB6339">
        <w:t xml:space="preserve">a </w:t>
      </w:r>
      <w:r w:rsidR="00F3793F">
        <w:t xml:space="preserve">30-year period from </w:t>
      </w:r>
      <w:r w:rsidR="00F3793F" w:rsidRPr="00F3793F">
        <w:t>1989-2019</w:t>
      </w:r>
      <w:r w:rsidR="00FB6339">
        <w:t>. The geographical locations of these stations</w:t>
      </w:r>
      <w:r w:rsidR="007B00AB">
        <w:t>,</w:t>
      </w:r>
      <w:r w:rsidR="00FB6339">
        <w:t xml:space="preserve"> with respect to the Red River Valley</w:t>
      </w:r>
      <w:r w:rsidR="007B00AB">
        <w:t>,</w:t>
      </w:r>
      <w:r w:rsidR="00FB6339">
        <w:t xml:space="preserve"> are </w:t>
      </w:r>
      <w:r w:rsidR="007B00AB">
        <w:t>presented</w:t>
      </w:r>
      <w:r w:rsidR="00FB6339">
        <w:t xml:space="preserve"> in</w:t>
      </w:r>
      <w:r w:rsidR="00F3793F" w:rsidRPr="00F3793F">
        <w:t xml:space="preserve"> </w:t>
      </w:r>
      <w:r w:rsidR="0010654D">
        <w:fldChar w:fldCharType="begin"/>
      </w:r>
      <w:r w:rsidR="0010654D">
        <w:instrText xml:space="preserve"> REF _Ref150821472 \h </w:instrText>
      </w:r>
      <w:r w:rsidR="0010654D">
        <w:fldChar w:fldCharType="separate"/>
      </w:r>
      <w:r w:rsidR="0010654D">
        <w:t xml:space="preserve">Figure </w:t>
      </w:r>
      <w:r w:rsidR="0010654D">
        <w:rPr>
          <w:noProof/>
        </w:rPr>
        <w:t>8</w:t>
      </w:r>
      <w:r w:rsidR="0010654D">
        <w:fldChar w:fldCharType="end"/>
      </w:r>
      <w:r w:rsidR="0010654D">
        <w:t>.</w:t>
      </w:r>
      <w:r w:rsidR="007E13B7">
        <w:t xml:space="preserve"> </w:t>
      </w:r>
      <w:r>
        <w:t>Standard atmospheric parameters are recorded on an hourly basis, with specific research emphasis on temperature,</w:t>
      </w:r>
      <w:r w:rsidR="00FB1F39">
        <w:t xml:space="preserve"> wind speed,</w:t>
      </w:r>
      <w:r>
        <w:t xml:space="preserve"> visibility, and present weather. </w:t>
      </w:r>
      <w:r w:rsidR="00960580">
        <w:t xml:space="preserve">The ASOS </w:t>
      </w:r>
      <w:r w:rsidR="00FB1F39">
        <w:t xml:space="preserve">forward scattering </w:t>
      </w:r>
      <w:r w:rsidR="00960580">
        <w:t xml:space="preserve">visibility algorithm computes a 10-minute rounded harmonic mean every minute </w:t>
      </w:r>
      <w:r w:rsidR="004E78FF">
        <w:t xml:space="preserve">using the equation,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1"/>
        <w:gridCol w:w="349"/>
      </w:tblGrid>
      <w:tr w:rsidR="001F1B60" w:rsidRPr="0057198B" w14:paraId="73CF29AA" w14:textId="77777777" w:rsidTr="0057198B">
        <w:tc>
          <w:tcPr>
            <w:tcW w:w="9085" w:type="dxa"/>
          </w:tcPr>
          <w:p w14:paraId="5A484EFB" w14:textId="195BC1D8" w:rsidR="001F1B60" w:rsidRPr="0057198B" w:rsidRDefault="00C0408C" w:rsidP="0057198B">
            <w:pPr>
              <w:pStyle w:val="Equation"/>
            </w:pPr>
            <m:oMathPara>
              <m:oMath>
                <m:acc>
                  <m:accPr>
                    <m:chr m:val="̅"/>
                    <m:ctrlPr/>
                  </m:accPr>
                  <m:e>
                    <m:r>
                      <m:t>V</m:t>
                    </m:r>
                  </m:e>
                </m:acc>
                <m:r>
                  <m:rPr>
                    <m:sty m:val="p"/>
                  </m:rPr>
                  <m:t>=</m:t>
                </m:r>
                <m:f>
                  <m:fPr>
                    <m:ctrlPr/>
                  </m:fPr>
                  <m:num>
                    <m:r>
                      <m:t>n</m:t>
                    </m:r>
                  </m:num>
                  <m:den>
                    <m:f>
                      <m:fPr>
                        <m:ctrlPr/>
                      </m:fPr>
                      <m:num>
                        <m:r>
                          <m:rPr>
                            <m:sty m:val="p"/>
                          </m:rPr>
                          <m:t>1</m:t>
                        </m:r>
                      </m:num>
                      <m:den>
                        <m:sSub>
                          <m:sSubPr>
                            <m:ctrlPr/>
                          </m:sSubPr>
                          <m:e>
                            <m:r>
                              <m:t>V</m:t>
                            </m:r>
                          </m:e>
                          <m:sub>
                            <m:r>
                              <m:rPr>
                                <m:sty m:val="p"/>
                              </m:rPr>
                              <m:t>1</m:t>
                            </m:r>
                          </m:sub>
                        </m:sSub>
                      </m:den>
                    </m:f>
                    <m:r>
                      <m:rPr>
                        <m:sty m:val="p"/>
                      </m:rPr>
                      <m:t>+</m:t>
                    </m:r>
                    <m:f>
                      <m:fPr>
                        <m:ctrlPr/>
                      </m:fPr>
                      <m:num>
                        <m:r>
                          <m:rPr>
                            <m:sty m:val="p"/>
                          </m:rPr>
                          <m:t>1</m:t>
                        </m:r>
                      </m:num>
                      <m:den>
                        <m:sSub>
                          <m:sSubPr>
                            <m:ctrlPr/>
                          </m:sSubPr>
                          <m:e>
                            <m:r>
                              <m:t>V</m:t>
                            </m:r>
                          </m:e>
                          <m:sub>
                            <m:r>
                              <m:rPr>
                                <m:sty m:val="p"/>
                              </m:rPr>
                              <m:t>2</m:t>
                            </m:r>
                          </m:sub>
                        </m:sSub>
                      </m:den>
                    </m:f>
                    <m:r>
                      <m:rPr>
                        <m:sty m:val="p"/>
                      </m:rPr>
                      <m:t>+…+</m:t>
                    </m:r>
                    <m:f>
                      <m:fPr>
                        <m:ctrlPr/>
                      </m:fPr>
                      <m:num>
                        <m:r>
                          <m:rPr>
                            <m:sty m:val="p"/>
                          </m:rPr>
                          <m:t>1</m:t>
                        </m:r>
                      </m:num>
                      <m:den>
                        <m:sSub>
                          <m:sSubPr>
                            <m:ctrlPr/>
                          </m:sSubPr>
                          <m:e>
                            <m:r>
                              <m:t>V</m:t>
                            </m:r>
                          </m:e>
                          <m:sub>
                            <m:r>
                              <m:t>n</m:t>
                            </m:r>
                          </m:sub>
                        </m:sSub>
                      </m:den>
                    </m:f>
                  </m:den>
                </m:f>
                <m:r>
                  <m:rPr>
                    <m:sty m:val="p"/>
                  </m:rPr>
                  <m:t>,</m:t>
                </m:r>
              </m:oMath>
            </m:oMathPara>
          </w:p>
        </w:tc>
        <w:tc>
          <w:tcPr>
            <w:tcW w:w="265" w:type="dxa"/>
            <w:vAlign w:val="center"/>
          </w:tcPr>
          <w:p w14:paraId="230AE3BA" w14:textId="649B060A" w:rsidR="001F1B60" w:rsidRPr="0057198B" w:rsidRDefault="005858A3" w:rsidP="0057198B">
            <w:pPr>
              <w:pStyle w:val="Equation"/>
            </w:pPr>
            <w:r>
              <w:fldChar w:fldCharType="begin"/>
            </w:r>
            <w:r>
              <w:instrText xml:space="preserve"> SEQ Equation \* ARABIC </w:instrText>
            </w:r>
            <w:r>
              <w:fldChar w:fldCharType="separate"/>
            </w:r>
            <w:bookmarkStart w:id="65" w:name="_Ref150766720"/>
            <w:r w:rsidR="0010654D">
              <w:rPr>
                <w:noProof/>
              </w:rPr>
              <w:t>3</w:t>
            </w:r>
            <w:bookmarkEnd w:id="65"/>
            <w:r>
              <w:rPr>
                <w:noProof/>
              </w:rPr>
              <w:fldChar w:fldCharType="end"/>
            </w:r>
          </w:p>
        </w:tc>
      </w:tr>
    </w:tbl>
    <w:p w14:paraId="1919FFAE" w14:textId="2F2C4FD1" w:rsidR="00EC1B52" w:rsidRDefault="00960580" w:rsidP="00F776DF">
      <w:pPr>
        <w:pStyle w:val="TextFormat"/>
        <w:ind w:firstLine="0"/>
      </w:pPr>
      <w:r>
        <w:t xml:space="preserve">where </w:t>
      </w:r>
      <m:oMath>
        <m:acc>
          <m:accPr>
            <m:chr m:val="̅"/>
            <m:ctrlPr>
              <w:rPr>
                <w:rFonts w:ascii="Cambria Math" w:hAnsi="Cambria Math"/>
                <w:i/>
              </w:rPr>
            </m:ctrlPr>
          </m:accPr>
          <m:e>
            <m:r>
              <w:rPr>
                <w:rFonts w:ascii="Cambria Math" w:hAnsi="Cambria Math"/>
              </w:rPr>
              <m:t>V</m:t>
            </m:r>
          </m:e>
        </m:acc>
      </m:oMath>
      <w:r>
        <w:t xml:space="preserve"> is the harmonic mean, </w:t>
      </w:r>
      <m:oMath>
        <m:r>
          <w:rPr>
            <w:rFonts w:ascii="Cambria Math" w:hAnsi="Cambria Math"/>
          </w:rPr>
          <m:t>n=10</m:t>
        </m:r>
      </m:oMath>
      <w:r>
        <w:t xml:space="preserve">, and </w:t>
      </w:r>
      <m:oMath>
        <m:sSub>
          <m:sSubPr>
            <m:ctrlPr>
              <w:rPr>
                <w:rFonts w:ascii="Cambria Math" w:hAnsi="Cambria Math"/>
                <w:i/>
              </w:rPr>
            </m:ctrlPr>
          </m:sSubPr>
          <m:e>
            <m:r>
              <w:rPr>
                <w:rFonts w:ascii="Cambria Math" w:hAnsi="Cambria Math"/>
              </w:rPr>
              <m:t>V</m:t>
            </m:r>
          </m:e>
          <m:sub>
            <m:r>
              <w:rPr>
                <w:rFonts w:ascii="Cambria Math" w:hAnsi="Cambria Math"/>
              </w:rPr>
              <m:t>1</m:t>
            </m:r>
          </m:sub>
        </m:sSub>
      </m:oMath>
      <w:r>
        <w:t xml:space="preserve">, </w:t>
      </w:r>
      <m:oMath>
        <m:sSub>
          <m:sSubPr>
            <m:ctrlPr>
              <w:rPr>
                <w:rFonts w:ascii="Cambria Math" w:hAnsi="Cambria Math"/>
                <w:i/>
              </w:rPr>
            </m:ctrlPr>
          </m:sSubPr>
          <m:e>
            <m:r>
              <w:rPr>
                <w:rFonts w:ascii="Cambria Math" w:hAnsi="Cambria Math"/>
              </w:rPr>
              <m:t>V</m:t>
            </m:r>
          </m:e>
          <m:sub>
            <m:r>
              <w:rPr>
                <w:rFonts w:ascii="Cambria Math" w:hAnsi="Cambria Math"/>
              </w:rPr>
              <m:t>2</m:t>
            </m:r>
          </m:sub>
        </m:sSub>
      </m:oMath>
      <w:r>
        <w:t>,</w:t>
      </w:r>
      <w:r w:rsidRPr="00960580">
        <w:rPr>
          <w:rFonts w:ascii="Cambria Math" w:hAnsi="Cambria Math"/>
          <w:i/>
        </w:rPr>
        <w:t xml:space="preserve"> </w:t>
      </w:r>
      <m:oMath>
        <m:sSub>
          <m:sSubPr>
            <m:ctrlPr>
              <w:rPr>
                <w:rFonts w:ascii="Cambria Math" w:hAnsi="Cambria Math"/>
                <w:i/>
              </w:rPr>
            </m:ctrlPr>
          </m:sSubPr>
          <m:e>
            <m:r>
              <w:rPr>
                <w:rFonts w:ascii="Cambria Math" w:hAnsi="Cambria Math"/>
              </w:rPr>
              <m:t>V</m:t>
            </m:r>
          </m:e>
          <m:sub>
            <m:r>
              <w:rPr>
                <w:rFonts w:ascii="Cambria Math" w:hAnsi="Cambria Math"/>
              </w:rPr>
              <m:t>n</m:t>
            </m:r>
          </m:sub>
        </m:sSub>
      </m:oMath>
      <w:r>
        <w:t xml:space="preserve"> are the 1-minute visibility reports. The newest visibility report is checked against the previous visibility reports</w:t>
      </w:r>
      <w:r w:rsidR="007B00AB">
        <w:t>,</w:t>
      </w:r>
      <w:r>
        <w:t xml:space="preserve"> and if it passes a </w:t>
      </w:r>
      <w:r w:rsidR="00FB1F39">
        <w:t>specified</w:t>
      </w:r>
      <w:r>
        <w:t xml:space="preserve"> threshold, a special observation report</w:t>
      </w:r>
      <w:r w:rsidR="00FB1F39">
        <w:t xml:space="preserve"> </w:t>
      </w:r>
      <w:r w:rsidR="007B00AB">
        <w:t xml:space="preserve">is issued </w:t>
      </w:r>
      <w:r w:rsidR="00FB1F39">
        <w:t>outside of the normal hourly reports</w:t>
      </w:r>
      <w:r w:rsidR="00EC1B52">
        <w:t>.</w:t>
      </w:r>
    </w:p>
    <w:p w14:paraId="37BC3DE4" w14:textId="4E823682" w:rsidR="00960580" w:rsidRPr="002976D4" w:rsidRDefault="00FB1F39" w:rsidP="0057198B">
      <w:pPr>
        <w:pStyle w:val="TextFormat"/>
      </w:pPr>
      <w:r>
        <w:t>The four ASOS</w:t>
      </w:r>
      <w:r w:rsidR="00EC1B52">
        <w:t>-automated</w:t>
      </w:r>
      <w:r>
        <w:t xml:space="preserve"> obs</w:t>
      </w:r>
      <w:r w:rsidR="00EC1B52">
        <w:t>tructions</w:t>
      </w:r>
      <w:r>
        <w:t xml:space="preserve"> are fog (FG), mist (BR), freezing fog (FZFG), and haze (HZ). </w:t>
      </w:r>
      <w:r w:rsidR="00EC1B52">
        <w:t xml:space="preserve">Other obstructions are manually reported by the observer. An obscuration algorithm infers the type of obstruction from concurrent measurements of visibility, temperature, dew point, and present weather. Once the </w:t>
      </w:r>
      <w:r w:rsidR="00FC6C75">
        <w:t>10-minute harmonic</w:t>
      </w:r>
      <w:r w:rsidR="00EC1B52">
        <w:t xml:space="preserve"> </w:t>
      </w:r>
      <w:r w:rsidR="00FC6C75">
        <w:t xml:space="preserve">mean </w:t>
      </w:r>
      <w:r w:rsidR="00EC1B52">
        <w:t>visibility drops below 7 statute miles, the algorithm looks at the dew point depression</w:t>
      </w:r>
      <w:r w:rsidR="00FC6C75">
        <w:t xml:space="preserve"> </w:t>
      </w:r>
      <w:r w:rsidR="00EC1B52">
        <w:t xml:space="preserve">to distinguish between </w:t>
      </w:r>
      <w:r w:rsidR="00FC6C75">
        <w:t xml:space="preserve">FG, BR, and HZ. </w:t>
      </w:r>
      <w:r w:rsidR="007B00AB">
        <w:t>When</w:t>
      </w:r>
      <w:r w:rsidR="00FC6C75">
        <w:t xml:space="preserve"> the dew point depression is less than 4 °F (</w:t>
      </w:r>
      <m:oMath>
        <m:r>
          <w:rPr>
            <w:rFonts w:ascii="Cambria Math" w:hAnsi="Cambria Math"/>
          </w:rPr>
          <m:t>~</m:t>
        </m:r>
      </m:oMath>
      <w:r w:rsidR="00FC6C75">
        <w:t xml:space="preserve"> 2 °C), FG or BR is reported</w:t>
      </w:r>
      <w:r w:rsidR="00113A97">
        <w:t>. When the concurrent visibility</w:t>
      </w:r>
      <w:r w:rsidR="00FC6C75">
        <w:t xml:space="preserve"> is between </w:t>
      </w:r>
      <w:r w:rsidR="001E6CCF">
        <w:t>11.2 km</w:t>
      </w:r>
      <w:r w:rsidR="00FC6C75">
        <w:t xml:space="preserve"> and </w:t>
      </w:r>
      <w:r w:rsidR="001E6CCF">
        <w:t>1 km</w:t>
      </w:r>
      <w:r w:rsidR="00FC6C75">
        <w:t xml:space="preserve">, BR is reported. </w:t>
      </w:r>
      <w:r w:rsidR="007B00AB">
        <w:t xml:space="preserve">When </w:t>
      </w:r>
      <w:r w:rsidR="00FC6C75">
        <w:t xml:space="preserve">the visibility is less than 5/8 statute miles, FG is reported. If the temperature is at or below freezing at the time of </w:t>
      </w:r>
      <w:r w:rsidR="003B5432">
        <w:t>an FG report</w:t>
      </w:r>
      <w:r w:rsidR="00FC6C75">
        <w:t xml:space="preserve">, FZFG is reported. </w:t>
      </w:r>
      <w:r w:rsidR="003B5432">
        <w:t xml:space="preserve">HZ is only reported </w:t>
      </w:r>
      <w:r w:rsidR="000000B6">
        <w:t>when</w:t>
      </w:r>
      <w:r w:rsidR="003B5432">
        <w:t xml:space="preserve"> the dew point depression is greater than 4 °F (</w:t>
      </w:r>
      <m:oMath>
        <m:r>
          <w:rPr>
            <w:rFonts w:ascii="Cambria Math" w:hAnsi="Cambria Math"/>
          </w:rPr>
          <m:t>~</m:t>
        </m:r>
      </m:oMath>
      <w:r w:rsidR="003B5432">
        <w:t xml:space="preserve"> 2 °C) and the present weather sensor is not reporting any precipitation.</w:t>
      </w:r>
      <w:r w:rsidR="00113A97">
        <w:t xml:space="preserve"> </w:t>
      </w:r>
    </w:p>
    <w:p w14:paraId="690D10A1" w14:textId="68CEB944" w:rsidR="002908F5" w:rsidRDefault="004928BA" w:rsidP="002908F5">
      <w:pPr>
        <w:pStyle w:val="TextFormat"/>
      </w:pPr>
      <w:r>
        <w:t>Instances of fog and/or mist are grouped by hour within each specific calendar day. Instances with concurrent hydrometeor (rain, snow, thunderstorm, drizzle, etc.) or non-hydrometeor (haze, smoke, etc.) conditions are excluded.</w:t>
      </w:r>
      <w:r w:rsidR="00CE1CD0">
        <w:t xml:space="preserve"> Special observation reports are common with occurrences of low visibility </w:t>
      </w:r>
      <w:r w:rsidR="000000B6">
        <w:t>by</w:t>
      </w:r>
      <w:r w:rsidR="00CE1CD0">
        <w:t xml:space="preserve"> ASOS stations; therefore, only the first fog occurrence within each hour is recorded. </w:t>
      </w:r>
      <w:r w:rsidR="007E1D8A">
        <w:t>Wind thresholds (&lt; 10 m/s) are applied to filter out blowing snow events</w:t>
      </w:r>
      <w:r w:rsidR="00975D8C">
        <w:t xml:space="preserve"> that can mimic fog conditions</w:t>
      </w:r>
      <w:r w:rsidR="007E1D8A">
        <w:t xml:space="preserve">. </w:t>
      </w:r>
      <w:r>
        <w:t xml:space="preserve">Data is additionally </w:t>
      </w:r>
      <w:r w:rsidR="003354AA">
        <w:t>subset</w:t>
      </w:r>
      <w:r>
        <w:t xml:space="preserve"> by temperature (&lt; 0</w:t>
      </w:r>
      <w:r w:rsidR="003A26E0">
        <w:t xml:space="preserve"> </w:t>
      </w:r>
      <w:r>
        <w:t xml:space="preserve">°C) </w:t>
      </w:r>
      <w:r w:rsidR="003B5432">
        <w:t xml:space="preserve">for supercooled fog </w:t>
      </w:r>
      <w:proofErr w:type="spellStart"/>
      <w:r w:rsidR="003B5432">
        <w:t>climatologies</w:t>
      </w:r>
      <w:proofErr w:type="spellEnd"/>
      <w:r w:rsidR="003B5432">
        <w:t>.</w:t>
      </w:r>
    </w:p>
    <w:p w14:paraId="2891D838" w14:textId="2DA6531C" w:rsidR="002908F5" w:rsidRDefault="002908F5" w:rsidP="003A7E1B">
      <w:pPr>
        <w:pStyle w:val="Heading3"/>
      </w:pPr>
      <w:bookmarkStart w:id="66" w:name="_Toc152692018"/>
      <w:r>
        <w:lastRenderedPageBreak/>
        <w:t>Instrumentation Analysis</w:t>
      </w:r>
      <w:bookmarkEnd w:id="66"/>
    </w:p>
    <w:p w14:paraId="07DD85DA" w14:textId="5864A81A" w:rsidR="002908F5" w:rsidRDefault="002908F5" w:rsidP="002908F5">
      <w:pPr>
        <w:pStyle w:val="TextFormat"/>
      </w:pPr>
      <w:r w:rsidRPr="000865E7">
        <w:t>With newly developed instruments, such as the IMet-XQ2 and MiniOFS, it is important to compare measurements to industry-standard instruments. Hence, in the fall and early winter of 2021, both the IMet-XQ2 and MiniOFS sensors were attached to a University of North Dakota Meteorological Trailer (</w:t>
      </w:r>
      <w:proofErr w:type="spellStart"/>
      <w:r w:rsidRPr="000865E7">
        <w:t>MetTrailer</w:t>
      </w:r>
      <w:proofErr w:type="spellEnd"/>
      <w:r w:rsidRPr="000865E7">
        <w:t xml:space="preserve">, http://mettrailer.atmos.und.edu). The </w:t>
      </w:r>
      <w:proofErr w:type="spellStart"/>
      <w:r w:rsidRPr="000865E7">
        <w:t>MetTrailer</w:t>
      </w:r>
      <w:proofErr w:type="spellEnd"/>
      <w:r w:rsidRPr="000865E7">
        <w:t xml:space="preserve"> was stationed at the Fargo Jet Center, located on the north side of Hector International Airport (KFAR). The Vaisala WXT536 multi-parameter weather sensor (temperature, humidity, pressure, rainfall, wind) and the Campbell Scientific CS125 present weather sensor (temperature, humidity, visibility) are used as instrument comparisons to the IMet-XQ2 and MiniOFS. Data from all instruments are recorded every minute from September 16th, 2021 to December 2nd, 2021. </w:t>
      </w:r>
    </w:p>
    <w:p w14:paraId="7E292EA8" w14:textId="341025BA" w:rsidR="002908F5" w:rsidRPr="008955C2" w:rsidRDefault="002908F5" w:rsidP="003A7E1B">
      <w:pPr>
        <w:pStyle w:val="Heading3"/>
      </w:pPr>
      <w:bookmarkStart w:id="67" w:name="_Toc152692019"/>
      <w:r>
        <w:t>UAS Missions</w:t>
      </w:r>
      <w:bookmarkEnd w:id="67"/>
    </w:p>
    <w:p w14:paraId="40B9F56C" w14:textId="0E9B675F" w:rsidR="005004AB" w:rsidRDefault="005004AB" w:rsidP="0057198B">
      <w:pPr>
        <w:pStyle w:val="TextFormat"/>
      </w:pPr>
      <w:r>
        <w:t xml:space="preserve">An operational </w:t>
      </w:r>
      <w:r w:rsidR="008955C2">
        <w:t>framework</w:t>
      </w:r>
      <w:r>
        <w:t xml:space="preserve"> implementing the </w:t>
      </w:r>
      <w:r w:rsidR="007E1C34">
        <w:t xml:space="preserve">UAS </w:t>
      </w:r>
      <w:r>
        <w:t xml:space="preserve">platform </w:t>
      </w:r>
      <w:r w:rsidR="00620CDC">
        <w:t>during</w:t>
      </w:r>
      <w:r w:rsidR="007D6A15">
        <w:t xml:space="preserve"> a</w:t>
      </w:r>
      <w:r w:rsidR="00620CDC">
        <w:t xml:space="preserve"> </w:t>
      </w:r>
      <w:r w:rsidR="008955C2">
        <w:t xml:space="preserve">theoretical </w:t>
      </w:r>
      <w:r w:rsidR="00620CDC">
        <w:t xml:space="preserve">supercooled fog abatement project </w:t>
      </w:r>
      <w:r>
        <w:t>center</w:t>
      </w:r>
      <w:r w:rsidR="00241EA2">
        <w:t>s</w:t>
      </w:r>
      <w:r w:rsidR="007D6A15">
        <w:t xml:space="preserve"> </w:t>
      </w:r>
      <w:r>
        <w:t>on a</w:t>
      </w:r>
      <w:r w:rsidR="00620CDC">
        <w:t xml:space="preserve"> couple objectives: </w:t>
      </w:r>
    </w:p>
    <w:p w14:paraId="698732BF" w14:textId="413FD960" w:rsidR="005004AB" w:rsidRDefault="00D24B51" w:rsidP="0057198B">
      <w:pPr>
        <w:pStyle w:val="Bullet-TextFormat"/>
        <w:numPr>
          <w:ilvl w:val="0"/>
          <w:numId w:val="26"/>
        </w:numPr>
      </w:pPr>
      <w:r w:rsidRPr="005004AB">
        <w:t>D</w:t>
      </w:r>
      <w:r w:rsidR="00EF5FDF" w:rsidRPr="005004AB">
        <w:t xml:space="preserve">emonstrate </w:t>
      </w:r>
      <w:r w:rsidR="00241EA2">
        <w:t xml:space="preserve">a </w:t>
      </w:r>
      <w:r w:rsidR="00EF5FDF" w:rsidRPr="005004AB">
        <w:t>successful collection of in-situ atmospheric data</w:t>
      </w:r>
      <w:r w:rsidR="00620CDC" w:rsidRPr="005004AB">
        <w:t xml:space="preserve"> within the fog layer</w:t>
      </w:r>
      <w:r w:rsidR="008955C2">
        <w:t xml:space="preserve"> and determine the </w:t>
      </w:r>
      <w:r w:rsidR="000000B6">
        <w:t>top</w:t>
      </w:r>
      <w:r w:rsidR="008955C2">
        <w:t xml:space="preserve"> of </w:t>
      </w:r>
      <w:r w:rsidR="000000B6">
        <w:t xml:space="preserve">the </w:t>
      </w:r>
      <w:r w:rsidR="008955C2">
        <w:t>fog</w:t>
      </w:r>
      <w:r w:rsidR="005004AB">
        <w:t>.</w:t>
      </w:r>
    </w:p>
    <w:p w14:paraId="6D037612" w14:textId="400DFED5" w:rsidR="005004AB" w:rsidRDefault="007E1C34" w:rsidP="0057198B">
      <w:pPr>
        <w:pStyle w:val="Bullet-TextFormat"/>
        <w:numPr>
          <w:ilvl w:val="0"/>
          <w:numId w:val="26"/>
        </w:numPr>
      </w:pPr>
      <w:r w:rsidRPr="005004AB">
        <w:t xml:space="preserve">Implement </w:t>
      </w:r>
      <w:r w:rsidR="000000B6">
        <w:t>UAS</w:t>
      </w:r>
      <w:r w:rsidR="005004AB">
        <w:t xml:space="preserve"> </w:t>
      </w:r>
      <w:r w:rsidRPr="005004AB">
        <w:t>flight patterns (racetrack, box, etc.)</w:t>
      </w:r>
      <w:r w:rsidR="000000B6">
        <w:t xml:space="preserve"> to </w:t>
      </w:r>
      <w:r w:rsidRPr="005004AB">
        <w:t>releas</w:t>
      </w:r>
      <w:r w:rsidR="000000B6">
        <w:t>e</w:t>
      </w:r>
      <w:r w:rsidRPr="005004AB">
        <w:t xml:space="preserve"> </w:t>
      </w:r>
      <w:r w:rsidR="000000B6">
        <w:t xml:space="preserve">an </w:t>
      </w:r>
      <w:r w:rsidR="00737C61">
        <w:t>appropriate amount</w:t>
      </w:r>
      <w:r w:rsidR="000000B6">
        <w:t xml:space="preserve"> of </w:t>
      </w:r>
      <w:r w:rsidRPr="005004AB">
        <w:t>seeding material near fog top</w:t>
      </w:r>
      <w:r w:rsidR="005004AB">
        <w:t>.</w:t>
      </w:r>
    </w:p>
    <w:p w14:paraId="180C7CD2" w14:textId="5B685A07" w:rsidR="005004AB" w:rsidRDefault="007E1C34" w:rsidP="0057198B">
      <w:pPr>
        <w:pStyle w:val="Bullet-TextFormat"/>
        <w:numPr>
          <w:ilvl w:val="0"/>
          <w:numId w:val="26"/>
        </w:numPr>
      </w:pPr>
      <w:r w:rsidRPr="005004AB">
        <w:t xml:space="preserve">Maintain </w:t>
      </w:r>
      <w:r w:rsidR="00737C61">
        <w:t xml:space="preserve">UAS operations </w:t>
      </w:r>
      <w:r w:rsidRPr="005004AB">
        <w:t xml:space="preserve">until changing conditions </w:t>
      </w:r>
      <w:r w:rsidR="00737C61">
        <w:t xml:space="preserve">indicate suitable fog clearing has been done or </w:t>
      </w:r>
      <w:r w:rsidRPr="005004AB">
        <w:t>UA</w:t>
      </w:r>
      <w:r w:rsidR="00737C61">
        <w:t>S</w:t>
      </w:r>
      <w:r w:rsidRPr="005004AB">
        <w:t xml:space="preserve"> </w:t>
      </w:r>
      <w:r w:rsidR="00737C61">
        <w:t xml:space="preserve">operational </w:t>
      </w:r>
      <w:r w:rsidRPr="005004AB">
        <w:t xml:space="preserve">constraints dictate </w:t>
      </w:r>
      <w:r w:rsidR="007D6A15" w:rsidRPr="005004AB">
        <w:t>cessation of operations</w:t>
      </w:r>
      <w:r w:rsidR="005004AB">
        <w:t>.</w:t>
      </w:r>
    </w:p>
    <w:p w14:paraId="7530CC53" w14:textId="13C12455" w:rsidR="004220B0" w:rsidRPr="005004AB" w:rsidRDefault="00017711" w:rsidP="0057198B">
      <w:pPr>
        <w:pStyle w:val="TextFormat"/>
        <w:ind w:firstLine="0"/>
      </w:pPr>
      <w:r>
        <w:t>Hence, flight patterns for UAS r</w:t>
      </w:r>
      <w:r w:rsidR="007D6A15" w:rsidRPr="005004AB">
        <w:t xml:space="preserve">esearch are </w:t>
      </w:r>
      <w:r w:rsidR="00113A97">
        <w:t>related to</w:t>
      </w:r>
      <w:r>
        <w:t xml:space="preserve"> fog seeding operations</w:t>
      </w:r>
      <w:r w:rsidR="007D6A15" w:rsidRPr="005004AB">
        <w:t xml:space="preserve">. </w:t>
      </w:r>
      <w:r w:rsidR="00AD6021" w:rsidRPr="005004AB">
        <w:t xml:space="preserve">Similar to efforts </w:t>
      </w:r>
      <w:r w:rsidR="00A16CD5" w:rsidRPr="005004AB">
        <w:t xml:space="preserve">by </w:t>
      </w:r>
      <w:r w:rsidR="00A16CD5" w:rsidRPr="005004AB">
        <w:fldChar w:fldCharType="begin"/>
      </w:r>
      <w:r w:rsidR="002976D4" w:rsidRPr="005004AB">
        <w:instrText xml:space="preserve"> ADDIN ZOTERO_ITEM CSL_CITATION {"citationID":"37Z3GYEX","properties":{"formattedCitation":"(Chong et al. 2020)","plainCitation":"(Chong et al. 2020)","dontUpdate":true,"noteIndex":0},"citationItems":[{"id":136,"uris":["http://zotero.org/users/local/LzhHb4Ct/items/M7MEBER9"],"itemData":{"id":136,"type":"paper-conference","abstract":"In the era of the Fourth Industrial Revolution, UAVs (or drones) have become a flexible device that can be integrated with new technologies. The drones were originally developed as military unmanned aircraft and are now being used in various fields. In the weather observation area, the atmospheric boundary layer is near the surface where the atmosphere is the most active in the meteorological phenomenon and has a close influence on human activities. In order to carry out the study of these atmospheric boundary layers, it is necessary to observe precisely the lower atmosphere and secure the observation technology. The drones in the meteorological field can be used for meteorological observations at a relatively low maintenance cost compared to existing equipment. When used in conjunction with various sensors, the drones can be widely used in atmospheric boundary layer and local meteorological studies. In this study, the feasibility of meteorological observations using UAVs was confirmed by conducting vertical meteorological (temperature and relative humidity) observation experiments equipped with a radiosonde on UAVs owned by National Institute of Meteorological Sciences (NIMS).","container-title":"2020 International Conference on Unmanned Aircraft Systems (ICUAS)","DOI":"10.1109/ICUAS48674.2020.9214037","event-title":"2020 International Conference on Unmanned Aircraft Systems (ICUAS)","note":"ISSN: 2575-7296","page":"540-544","source":"IEEE Xplore","title":"Research on Meteorological Technology Development Using Rotary Multicopter Unmanned Aerial Vehicles and Its Application","URL":"https://ieeexplore.ieee.org/abstract/document/9214037","author":[{"family":"Chong","given":"Jihyo"},{"family":"Lee","given":"Seungho"},{"family":"Shin","given":"Seungsook"},{"family":"Hwang","given":"Sung Eun"},{"family":"Lee","given":"YoungTae"},{"family":"Kim","given":"Seungbum"}],"accessed":{"date-parts":[["2023",10,12]]},"issued":{"date-parts":[["2020",9]]}}}],"schema":"https://github.com/citation-style-language/schema/raw/master/csl-citation.json"} </w:instrText>
      </w:r>
      <w:r w:rsidR="00A16CD5" w:rsidRPr="005004AB">
        <w:fldChar w:fldCharType="separate"/>
      </w:r>
      <w:r w:rsidR="00A16CD5" w:rsidRPr="005004AB">
        <w:t>Chong et al. (2020)</w:t>
      </w:r>
      <w:r w:rsidR="00A16CD5" w:rsidRPr="005004AB">
        <w:fldChar w:fldCharType="end"/>
      </w:r>
      <w:r w:rsidR="00A16CD5" w:rsidRPr="005004AB">
        <w:t xml:space="preserve"> and </w:t>
      </w:r>
      <w:r w:rsidR="00AD6021" w:rsidRPr="005004AB">
        <w:fldChar w:fldCharType="begin"/>
      </w:r>
      <w:r w:rsidR="002976D4" w:rsidRPr="005004AB">
        <w:instrText xml:space="preserve"> ADDIN ZOTERO_ITEM CSL_CITATION {"citationID":"JmtBHAD3","properties":{"formattedCitation":"(Islam et al. 2021)","plainCitation":"(Islam et al. 2021)","dontUpdate":true,"noteIndex":0},"citationItems":[{"id":9,"uris":["http://zotero.org/users/local/LzhHb4Ct/items/F2WF9REB"],"itemData":{"id":9,"type":"article-journal","abstract":"Abstract. This paper describes the data collected by the University of Nebraska-Lincoln (UNL) as part of the field deployments during the Lower Atmospheric Process Studies at Elevation – a Remotely-piloted Aircraft Team Experiment (LAPSE-RATE) flight campaign in July 2018.\nThe UNL deployed two multirotor unmanned aerial systems (UASs) at multiple sites in the San Luis Valley (Colorado, USA) for data collection to support three science missions: convection initiation, boundary layer transition, and cold air drainage flow.\nWe conducted 172 flights resulting in over 21 h of cumulative flight time.\nOur novel design for the sensor housing onboard the UAS was employed in these flights to meet the aspiration and shielding requirements of the temperature and humidity sensors and to separate them from the mixed turbulent airflow from the propellers.\nData presented in this paper include timestamped temperature and humidity data collected from the sensors, along with the three-dimensional position and velocity of the UAS.\nData are quality-controlled and time-synchronized using a zero-order-hold interpolation without additional post-processing.\nThe full dataset is also made available for download at https://doi.org/10.5281/zenodo.4306086 (Islam et al., 2020).","container-title":"Earth System Science Data","DOI":"10.5194/essd-13-2457-2021","ISSN":"1866-3516","issue":"6","journalAbbreviation":"Earth Syst. Sci. Data","language":"en","page":"2457-2470","source":"Semantic Scholar","title":"University of Nebraska unmanned aerial system (UAS) profiling during the LAPSE-RATE field campaign","volume":"13","author":[{"family":"Islam","given":"Ashraful"},{"family":"Shankar","given":"Ajay"},{"family":"Houston","given":"Adam"},{"family":"Detweiler","given":"Carrick"}],"issued":{"date-parts":[["2021",6,2]]}}}],"schema":"https://github.com/citation-style-language/schema/raw/master/csl-citation.json"} </w:instrText>
      </w:r>
      <w:r w:rsidR="00AD6021" w:rsidRPr="005004AB">
        <w:fldChar w:fldCharType="separate"/>
      </w:r>
      <w:r w:rsidR="00A16CD5" w:rsidRPr="005004AB">
        <w:t>Islam et al. (2021)</w:t>
      </w:r>
      <w:r w:rsidR="00AD6021" w:rsidRPr="005004AB">
        <w:fldChar w:fldCharType="end"/>
      </w:r>
      <w:r w:rsidR="00A16CD5" w:rsidRPr="005004AB">
        <w:t xml:space="preserve">, vertical profiles to 400 ft AGL are attempted in both high and low visibility conditions. </w:t>
      </w:r>
      <w:r w:rsidR="008C4D5B" w:rsidRPr="005004AB">
        <w:t>In-situ profiling of</w:t>
      </w:r>
      <w:r w:rsidR="00A16CD5" w:rsidRPr="005004AB">
        <w:t xml:space="preserve"> temperature, humidity, and visibility</w:t>
      </w:r>
      <w:r w:rsidR="008C4D5B" w:rsidRPr="005004AB">
        <w:t xml:space="preserve"> </w:t>
      </w:r>
      <w:r w:rsidR="005004AB">
        <w:t xml:space="preserve">aims to </w:t>
      </w:r>
      <w:r w:rsidR="005004AB" w:rsidRPr="005004AB">
        <w:t>resolve</w:t>
      </w:r>
      <w:r w:rsidR="007D6A15" w:rsidRPr="005004AB">
        <w:t xml:space="preserve"> </w:t>
      </w:r>
      <w:r w:rsidR="008C4D5B" w:rsidRPr="005004AB">
        <w:t>fog characteristics and determine an approximate height of the cloud layer.</w:t>
      </w:r>
      <w:r w:rsidR="0088067F" w:rsidRPr="005004AB">
        <w:t xml:space="preserve"> </w:t>
      </w:r>
      <w:r w:rsidR="00CC35D6" w:rsidRPr="005004AB">
        <w:t xml:space="preserve">Hovering maneuvers </w:t>
      </w:r>
      <w:r w:rsidR="008955C2">
        <w:t>demonstrate in-situ monitoring of conditions for verification</w:t>
      </w:r>
      <w:r w:rsidR="00241EA2">
        <w:t xml:space="preserve"> and instrument calibration </w:t>
      </w:r>
      <w:r w:rsidR="00241EA2">
        <w:lastRenderedPageBreak/>
        <w:t>purposes</w:t>
      </w:r>
      <w:r w:rsidR="005004AB" w:rsidRPr="005004AB">
        <w:t xml:space="preserve">. </w:t>
      </w:r>
      <w:r w:rsidR="006E0708" w:rsidRPr="005004AB">
        <w:t>Racetrack and box flight patterns simulate UA</w:t>
      </w:r>
      <w:r w:rsidR="005004AB">
        <w:t>V</w:t>
      </w:r>
      <w:r w:rsidR="006E0708" w:rsidRPr="005004AB">
        <w:t xml:space="preserve"> maneuvers that would be accomplished </w:t>
      </w:r>
      <w:r w:rsidR="00676A67">
        <w:t>during dispersal operations</w:t>
      </w:r>
      <w:r w:rsidR="006E0708" w:rsidRPr="005004AB">
        <w:t>. Finally,</w:t>
      </w:r>
      <w:r w:rsidR="00F92C16" w:rsidRPr="005004AB">
        <w:t xml:space="preserve"> mission</w:t>
      </w:r>
      <w:r w:rsidR="00241EA2">
        <w:t xml:space="preserve"> longevity analysis during</w:t>
      </w:r>
      <w:r w:rsidR="006E0708" w:rsidRPr="005004AB">
        <w:t xml:space="preserve"> high and low visibility conditions </w:t>
      </w:r>
      <w:r w:rsidR="007B4D87">
        <w:t>helps</w:t>
      </w:r>
      <w:r w:rsidR="00241EA2">
        <w:t xml:space="preserve"> establish</w:t>
      </w:r>
      <w:r w:rsidR="00F92C16" w:rsidRPr="005004AB">
        <w:t xml:space="preserve"> </w:t>
      </w:r>
      <w:r w:rsidR="00241EA2">
        <w:t xml:space="preserve">temporal </w:t>
      </w:r>
      <w:r w:rsidR="00F92C16" w:rsidRPr="005004AB">
        <w:t>limits on UA</w:t>
      </w:r>
      <w:r w:rsidR="000421E8" w:rsidRPr="005004AB">
        <w:t>S</w:t>
      </w:r>
      <w:r w:rsidR="00F92C16" w:rsidRPr="005004AB">
        <w:t xml:space="preserve"> platform performance</w:t>
      </w:r>
      <w:r w:rsidR="00BD2EBE" w:rsidRPr="005004AB">
        <w:t>.</w:t>
      </w:r>
      <w:r w:rsidR="001F003B">
        <w:br w:type="page"/>
      </w:r>
    </w:p>
    <w:p w14:paraId="27696139" w14:textId="7CB81FF9" w:rsidR="008955C2" w:rsidRPr="002629DD" w:rsidRDefault="008955C2" w:rsidP="008739B9">
      <w:pPr>
        <w:pStyle w:val="Heading1"/>
      </w:pPr>
      <w:bookmarkStart w:id="68" w:name="_Toc152692020"/>
      <w:r w:rsidRPr="00591818">
        <w:t>CHAPTER I</w:t>
      </w:r>
      <w:r>
        <w:t>V</w:t>
      </w:r>
      <w:r w:rsidRPr="00591818">
        <w:t>: RESULTS</w:t>
      </w:r>
      <w:bookmarkEnd w:id="68"/>
    </w:p>
    <w:p w14:paraId="10C38C32" w14:textId="52AA4F11" w:rsidR="008955C2" w:rsidRDefault="008955C2" w:rsidP="0057198B">
      <w:pPr>
        <w:pStyle w:val="TextFormat"/>
      </w:pPr>
      <w:r>
        <w:t xml:space="preserve">Fog </w:t>
      </w:r>
      <w:proofErr w:type="spellStart"/>
      <w:r>
        <w:t>climatologies</w:t>
      </w:r>
      <w:proofErr w:type="spellEnd"/>
      <w:r>
        <w:t xml:space="preserve"> are visualized through heatmaps that utilize a percentage chance of hourly occurrence. This probability of occurrence is defined as follows</w:t>
      </w:r>
      <w:r w:rsidR="00150831">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3"/>
        <w:gridCol w:w="288"/>
      </w:tblGrid>
      <w:tr w:rsidR="00150831" w14:paraId="1396F3AD" w14:textId="77777777" w:rsidTr="0057198B">
        <w:trPr>
          <w:trHeight w:val="602"/>
        </w:trPr>
        <w:tc>
          <w:tcPr>
            <w:tcW w:w="9013" w:type="dxa"/>
          </w:tcPr>
          <w:p w14:paraId="5CB300D5" w14:textId="3DBE6DEB" w:rsidR="00150831" w:rsidRPr="00150831" w:rsidRDefault="00C0408C" w:rsidP="0048081C">
            <w:pPr>
              <w:spacing w:line="480" w:lineRule="auto"/>
              <w:ind w:firstLine="720"/>
              <w:jc w:val="both"/>
              <w:rPr>
                <w:rFonts w:ascii="Times New Roman" w:eastAsiaTheme="minorEastAsia" w:hAnsi="Times New Roman" w:cs="Times New Roman"/>
                <w:sz w:val="24"/>
                <w:szCs w:val="24"/>
              </w:rPr>
            </w:pPr>
            <m:oMathPara>
              <m:oMathParaPr>
                <m:jc m:val="center"/>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h</m:t>
                    </m:r>
                  </m:sub>
                </m:sSub>
                <m:r>
                  <w:rPr>
                    <w:rFonts w:ascii="Cambria Math" w:hAnsi="Cambria Math" w:cs="Times New Roman"/>
                    <w:sz w:val="24"/>
                    <w:szCs w:val="24"/>
                  </w:rPr>
                  <m:t xml:space="preserve">= </m:t>
                </m:r>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h</m:t>
                            </m:r>
                          </m:sub>
                        </m:sSub>
                      </m:num>
                      <m:den>
                        <m:r>
                          <w:rPr>
                            <w:rFonts w:ascii="Cambria Math" w:hAnsi="Cambria Math" w:cs="Times New Roman"/>
                            <w:sz w:val="24"/>
                            <w:szCs w:val="24"/>
                          </w:rPr>
                          <m:t>N</m:t>
                        </m:r>
                      </m:den>
                    </m:f>
                  </m:e>
                </m:d>
                <m:r>
                  <w:rPr>
                    <w:rFonts w:ascii="Cambria Math" w:hAnsi="Cambria Math" w:cs="Times New Roman"/>
                    <w:sz w:val="24"/>
                    <w:szCs w:val="24"/>
                  </w:rPr>
                  <m:t>×100,</m:t>
                </m:r>
              </m:oMath>
            </m:oMathPara>
          </w:p>
        </w:tc>
        <w:tc>
          <w:tcPr>
            <w:tcW w:w="288" w:type="dxa"/>
            <w:vAlign w:val="center"/>
          </w:tcPr>
          <w:p w14:paraId="5A33E2F7" w14:textId="11B8CD8A" w:rsidR="00150831" w:rsidRPr="0057198B" w:rsidRDefault="00150831" w:rsidP="0057198B">
            <w:pPr>
              <w:pStyle w:val="Caption"/>
              <w:jc w:val="center"/>
              <w:rPr>
                <w:i w:val="0"/>
                <w:iCs w:val="0"/>
              </w:rPr>
            </w:pPr>
            <w:r w:rsidRPr="0057198B">
              <w:rPr>
                <w:i w:val="0"/>
                <w:iCs w:val="0"/>
              </w:rPr>
              <w:fldChar w:fldCharType="begin"/>
            </w:r>
            <w:r w:rsidRPr="0057198B">
              <w:rPr>
                <w:i w:val="0"/>
                <w:iCs w:val="0"/>
              </w:rPr>
              <w:instrText xml:space="preserve"> SEQ Equation \* ARABIC </w:instrText>
            </w:r>
            <w:r w:rsidRPr="0057198B">
              <w:rPr>
                <w:i w:val="0"/>
                <w:iCs w:val="0"/>
              </w:rPr>
              <w:fldChar w:fldCharType="separate"/>
            </w:r>
            <w:r w:rsidR="0010654D">
              <w:rPr>
                <w:i w:val="0"/>
                <w:iCs w:val="0"/>
                <w:noProof/>
              </w:rPr>
              <w:t>4</w:t>
            </w:r>
            <w:r w:rsidRPr="0057198B">
              <w:rPr>
                <w:i w:val="0"/>
                <w:iCs w:val="0"/>
              </w:rPr>
              <w:fldChar w:fldCharType="end"/>
            </w:r>
          </w:p>
        </w:tc>
      </w:tr>
    </w:tbl>
    <w:p w14:paraId="6CC2DCF4" w14:textId="0DDA08B3" w:rsidR="008955C2" w:rsidRPr="001408F9" w:rsidRDefault="008955C2" w:rsidP="00840F15">
      <w:pPr>
        <w:pStyle w:val="TextFormat"/>
        <w:ind w:firstLine="0"/>
      </w:pPr>
      <w:r w:rsidRPr="001408F9">
        <w:t xml:space="preserve">where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Pr="001408F9">
        <w:rPr>
          <w:rFonts w:eastAsiaTheme="minorEastAsia"/>
        </w:rPr>
        <w:t xml:space="preserve"> is the </w:t>
      </w:r>
      <w:r w:rsidR="00AC09FC" w:rsidRPr="001408F9">
        <w:rPr>
          <w:rFonts w:eastAsiaTheme="minorEastAsia"/>
        </w:rPr>
        <w:t xml:space="preserve">percentage </w:t>
      </w:r>
      <w:r w:rsidRPr="001408F9">
        <w:rPr>
          <w:rFonts w:eastAsiaTheme="minorEastAsia"/>
        </w:rPr>
        <w:t>probability of hourly occurrence,</w:t>
      </w:r>
      <w:r w:rsidRPr="001408F9">
        <w:t xml:space="preserve"> </w:t>
      </w:r>
      <m:oMath>
        <m:sSub>
          <m:sSubPr>
            <m:ctrlPr>
              <w:rPr>
                <w:rFonts w:ascii="Cambria Math" w:hAnsi="Cambria Math"/>
                <w:i/>
              </w:rPr>
            </m:ctrlPr>
          </m:sSubPr>
          <m:e>
            <m:r>
              <w:rPr>
                <w:rFonts w:ascii="Cambria Math" w:hAnsi="Cambria Math"/>
              </w:rPr>
              <m:t>n</m:t>
            </m:r>
          </m:e>
          <m:sub>
            <m:r>
              <w:rPr>
                <w:rFonts w:ascii="Cambria Math" w:hAnsi="Cambria Math"/>
              </w:rPr>
              <m:t>h</m:t>
            </m:r>
          </m:sub>
        </m:sSub>
      </m:oMath>
      <w:r w:rsidRPr="001408F9">
        <w:t xml:space="preserve"> is the number of occurrences during the hourly period, and </w:t>
      </w:r>
      <m:oMath>
        <m:r>
          <w:rPr>
            <w:rFonts w:ascii="Cambria Math" w:hAnsi="Cambria Math"/>
          </w:rPr>
          <m:t>N</m:t>
        </m:r>
      </m:oMath>
      <w:r w:rsidRPr="001408F9">
        <w:t xml:space="preserve"> is the total possible outcomes in the sample space. For the 1989-2019 sample period, </w:t>
      </w:r>
      <m:oMath>
        <m:r>
          <w:rPr>
            <w:rFonts w:ascii="Cambria Math" w:hAnsi="Cambria Math"/>
          </w:rPr>
          <m:t>N</m:t>
        </m:r>
      </m:oMath>
      <w:r w:rsidRPr="001408F9">
        <w:t xml:space="preserve"> is 30</w:t>
      </w:r>
      <w:r w:rsidR="003C58A5" w:rsidRPr="001408F9">
        <w:t xml:space="preserve"> since there </w:t>
      </w:r>
      <w:r w:rsidR="003E30E3" w:rsidRPr="001408F9">
        <w:t>is one</w:t>
      </w:r>
      <w:r w:rsidR="003D2BEC" w:rsidRPr="001408F9">
        <w:t xml:space="preserve"> </w:t>
      </w:r>
      <w:r w:rsidR="003E30E3" w:rsidRPr="001408F9">
        <w:t xml:space="preserve">possible </w:t>
      </w:r>
      <w:r w:rsidR="003D2BEC" w:rsidRPr="001408F9">
        <w:t>occurrence per year</w:t>
      </w:r>
      <w:r w:rsidRPr="001408F9">
        <w:t xml:space="preserve">. </w:t>
      </w:r>
    </w:p>
    <w:p w14:paraId="0AA3798D" w14:textId="1B00270B" w:rsidR="008955C2" w:rsidRDefault="008955C2" w:rsidP="0057198B">
      <w:pPr>
        <w:pStyle w:val="TextFormat"/>
        <w:rPr>
          <w:rFonts w:eastAsiaTheme="minorEastAsia"/>
        </w:rPr>
      </w:pPr>
      <w:r w:rsidRPr="001408F9">
        <w:rPr>
          <w:rFonts w:eastAsiaTheme="minorEastAsia"/>
        </w:rPr>
        <w:t xml:space="preserve">Seasonally, </w:t>
      </w:r>
      <m:oMath>
        <m:sSub>
          <m:sSubPr>
            <m:ctrlPr>
              <w:rPr>
                <w:rFonts w:ascii="Cambria Math" w:hAnsi="Cambria Math"/>
                <w:i/>
              </w:rPr>
            </m:ctrlPr>
          </m:sSubPr>
          <m:e>
            <m:r>
              <w:rPr>
                <w:rFonts w:ascii="Cambria Math" w:hAnsi="Cambria Math"/>
              </w:rPr>
              <m:t>P</m:t>
            </m:r>
          </m:e>
          <m:sub>
            <m:r>
              <w:rPr>
                <w:rFonts w:ascii="Cambria Math" w:hAnsi="Cambria Math"/>
              </w:rPr>
              <m:t>h</m:t>
            </m:r>
          </m:sub>
        </m:sSub>
        <m:r>
          <w:rPr>
            <w:rFonts w:ascii="Cambria Math" w:hAnsi="Cambria Math"/>
          </w:rPr>
          <m:t xml:space="preserve"> </m:t>
        </m:r>
      </m:oMath>
      <w:r w:rsidRPr="001408F9">
        <w:rPr>
          <w:rFonts w:eastAsiaTheme="minorEastAsia"/>
        </w:rPr>
        <w:t xml:space="preserve">increases </w:t>
      </w:r>
      <w:r w:rsidRPr="001408F9">
        <w:t>during the winter and early spring months and decreases sharply by April</w:t>
      </w:r>
      <w:r w:rsidR="00AC09FC" w:rsidRPr="001408F9">
        <w:t xml:space="preserve"> (</w:t>
      </w:r>
      <w:r w:rsidR="007E13B7">
        <w:fldChar w:fldCharType="begin"/>
      </w:r>
      <w:r w:rsidR="007E13B7">
        <w:instrText xml:space="preserve"> REF _Ref150821690 \h </w:instrText>
      </w:r>
      <w:r w:rsidR="007E13B7">
        <w:fldChar w:fldCharType="separate"/>
      </w:r>
      <w:r w:rsidR="0010654D">
        <w:t xml:space="preserve">Figure </w:t>
      </w:r>
      <w:r w:rsidR="0010654D">
        <w:rPr>
          <w:noProof/>
        </w:rPr>
        <w:t>9</w:t>
      </w:r>
      <w:r w:rsidR="007E13B7">
        <w:fldChar w:fldCharType="end"/>
      </w:r>
      <w:r w:rsidR="00AC09FC" w:rsidRPr="001408F9">
        <w:t>)</w:t>
      </w:r>
      <w:r w:rsidRPr="001408F9">
        <w:t xml:space="preserve">. The early morning hours are most favored for higher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Pr="001408F9">
        <w:rPr>
          <w:rFonts w:eastAsiaTheme="minorEastAsia"/>
        </w:rPr>
        <w:t>, decreasing dramatically beyond sunrise. The beginning of July displays</w:t>
      </w:r>
      <w:r>
        <w:rPr>
          <w:rFonts w:eastAsiaTheme="minorEastAsia"/>
        </w:rPr>
        <w:t xml:space="preserve"> the earliest hourly period for maximum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Pr>
          <w:rFonts w:eastAsiaTheme="minorEastAsia"/>
        </w:rPr>
        <w:t xml:space="preserve"> (4 – 5 CST), with late December into early January as the latest (8 – 9 CST). Where these higher trends of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Pr>
          <w:rFonts w:eastAsiaTheme="minorEastAsia"/>
        </w:rPr>
        <w:t xml:space="preserve"> intersect during the early morning hours of March,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t xml:space="preserve"> peaks close to 37 </w:t>
      </w:r>
      <w:r w:rsidR="0048081C">
        <w:t>percent</w:t>
      </w:r>
      <w:r>
        <w:t xml:space="preserve">. Similar trends </w:t>
      </w:r>
      <w:r w:rsidR="003D2BEC">
        <w:t xml:space="preserve">in temporal extent and magnitude of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003D2BEC">
        <w:rPr>
          <w:rFonts w:eastAsiaTheme="minorEastAsia"/>
        </w:rPr>
        <w:t xml:space="preserve"> </w:t>
      </w:r>
      <w:r>
        <w:t>are seen</w:t>
      </w:r>
      <w:r w:rsidR="003D2BEC">
        <w:t xml:space="preserve"> at KGFK, KFAR, and KJMS</w:t>
      </w:r>
      <w:r>
        <w:t xml:space="preserve"> </w:t>
      </w:r>
      <w:r w:rsidR="003D2BEC">
        <w:t>as at</w:t>
      </w:r>
      <w:r>
        <w:t xml:space="preserve"> </w:t>
      </w:r>
      <w:r w:rsidR="003E30E3" w:rsidRPr="003A039B">
        <w:t>K</w:t>
      </w:r>
      <w:r w:rsidRPr="003A039B">
        <w:t xml:space="preserve">GFK </w:t>
      </w:r>
      <w:r w:rsidR="003D2BEC" w:rsidRPr="003A039B">
        <w:t>(</w:t>
      </w:r>
      <w:r w:rsidR="0013347A">
        <w:fldChar w:fldCharType="begin"/>
      </w:r>
      <w:r w:rsidR="0013347A">
        <w:instrText xml:space="preserve"> REF _Ref150821690 \h </w:instrText>
      </w:r>
      <w:r w:rsidR="0013347A">
        <w:fldChar w:fldCharType="separate"/>
      </w:r>
      <w:r w:rsidR="0010654D">
        <w:t xml:space="preserve">Figure </w:t>
      </w:r>
      <w:r w:rsidR="0010654D">
        <w:rPr>
          <w:noProof/>
        </w:rPr>
        <w:t>9</w:t>
      </w:r>
      <w:r w:rsidR="0013347A">
        <w:fldChar w:fldCharType="end"/>
      </w:r>
      <w:r w:rsidR="003D2BEC" w:rsidRPr="003A039B">
        <w:t>)</w:t>
      </w:r>
      <w:r w:rsidRPr="003A039B">
        <w:t>.</w:t>
      </w:r>
      <w:r>
        <w:t xml:space="preserve"> </w:t>
      </w:r>
      <w:r>
        <w:rPr>
          <w:rFonts w:eastAsiaTheme="minorEastAsia"/>
        </w:rPr>
        <w:t xml:space="preserve">KRDR </w:t>
      </w:r>
      <w:r w:rsidR="003D2BEC">
        <w:rPr>
          <w:rFonts w:eastAsiaTheme="minorEastAsia"/>
        </w:rPr>
        <w:t xml:space="preserve">lags </w:t>
      </w:r>
      <w:r>
        <w:rPr>
          <w:rFonts w:eastAsiaTheme="minorEastAsia"/>
        </w:rPr>
        <w:t>in magnitude</w:t>
      </w:r>
      <w:r w:rsidR="003D2BEC">
        <w:rPr>
          <w:rFonts w:eastAsiaTheme="minorEastAsia"/>
        </w:rPr>
        <w:t xml:space="preserve"> compared to the other stations</w:t>
      </w:r>
      <w:r>
        <w:rPr>
          <w:rFonts w:eastAsiaTheme="minorEastAsia"/>
        </w:rPr>
        <w:t xml:space="preserve">. KJMS and KRDR (and to a lesser extent KGFK and KFAR) exhibit temporally banded features of higher relative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Pr>
          <w:rFonts w:eastAsiaTheme="minorEastAsia"/>
        </w:rPr>
        <w:t xml:space="preserve"> during March. All stations report a lull of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Pr>
          <w:rFonts w:eastAsiaTheme="minorEastAsia"/>
        </w:rPr>
        <w:t xml:space="preserve"> during late September into the first half of October for all hourly periods.</w:t>
      </w:r>
    </w:p>
    <w:p w14:paraId="2AD50422" w14:textId="77777777" w:rsidR="00F776DF" w:rsidRDefault="00F776DF" w:rsidP="005F51C5">
      <w:pPr>
        <w:pStyle w:val="Figure"/>
      </w:pPr>
      <w:bookmarkStart w:id="69" w:name="_Toc150698144"/>
      <w:bookmarkStart w:id="70" w:name="_Hlk150125637"/>
      <w:bookmarkStart w:id="71" w:name="_Toc150818405"/>
      <w:bookmarkStart w:id="72" w:name="_Ref150379558"/>
      <w:r w:rsidRPr="00F776DF">
        <w:lastRenderedPageBreak/>
        <w:drawing>
          <wp:inline distT="0" distB="0" distL="0" distR="0" wp14:anchorId="386CB8BD" wp14:editId="3DF7F5AA">
            <wp:extent cx="5905500" cy="4016909"/>
            <wp:effectExtent l="0" t="0" r="0" b="3175"/>
            <wp:docPr id="266868398" name="Picture 266868398" descr="A screenshot of a computer generated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447981" name="Picture 1" descr="A screenshot of a computer generated image&#10;&#10;Description automatically generated"/>
                    <pic:cNvPicPr/>
                  </pic:nvPicPr>
                  <pic:blipFill>
                    <a:blip r:embed="rId20"/>
                    <a:stretch>
                      <a:fillRect/>
                    </a:stretch>
                  </pic:blipFill>
                  <pic:spPr>
                    <a:xfrm>
                      <a:off x="0" y="0"/>
                      <a:ext cx="5930739" cy="4034076"/>
                    </a:xfrm>
                    <a:prstGeom prst="rect">
                      <a:avLst/>
                    </a:prstGeom>
                  </pic:spPr>
                </pic:pic>
              </a:graphicData>
            </a:graphic>
          </wp:inline>
        </w:drawing>
      </w:r>
    </w:p>
    <w:p w14:paraId="346AF42F" w14:textId="50559C63" w:rsidR="00F776DF" w:rsidRDefault="00F776DF" w:rsidP="00F776DF">
      <w:pPr>
        <w:pStyle w:val="FigureCaption"/>
        <w:rPr>
          <w:noProof/>
        </w:rPr>
      </w:pPr>
      <w:bookmarkStart w:id="73" w:name="_Ref150821690"/>
      <w:bookmarkStart w:id="74" w:name="_Toc152692038"/>
      <w:r>
        <w:t xml:space="preserve">Figure </w:t>
      </w:r>
      <w:r w:rsidR="005858A3">
        <w:fldChar w:fldCharType="begin"/>
      </w:r>
      <w:r w:rsidR="005858A3">
        <w:instrText xml:space="preserve"> SEQ Figure \* ARABIC </w:instrText>
      </w:r>
      <w:r w:rsidR="005858A3">
        <w:fldChar w:fldCharType="separate"/>
      </w:r>
      <w:r w:rsidR="00E337FD">
        <w:rPr>
          <w:noProof/>
        </w:rPr>
        <w:t>9</w:t>
      </w:r>
      <w:r w:rsidR="005858A3">
        <w:rPr>
          <w:noProof/>
        </w:rPr>
        <w:fldChar w:fldCharType="end"/>
      </w:r>
      <w:bookmarkEnd w:id="73"/>
      <w:r>
        <w:t>. Hourly probability heatmap plots showing the amount of m</w:t>
      </w:r>
      <w:r w:rsidRPr="005E6290">
        <w:t xml:space="preserve">ist and/or fog </w:t>
      </w:r>
      <w:r>
        <w:t>at</w:t>
      </w:r>
      <w:r w:rsidRPr="005E6290">
        <w:t xml:space="preserve"> Grand International Airport (KGFK), Hector International Airport (KFAR), Grand Forks Air Force Base (KRDR), and Jamestown Regional Airport (KJMS) from 1989-2019.</w:t>
      </w:r>
      <w:bookmarkEnd w:id="74"/>
    </w:p>
    <w:bookmarkEnd w:id="69"/>
    <w:bookmarkEnd w:id="70"/>
    <w:bookmarkEnd w:id="71"/>
    <w:bookmarkEnd w:id="72"/>
    <w:p w14:paraId="183F3AE6" w14:textId="5011BB6C" w:rsidR="00F776DF" w:rsidRDefault="0048081C" w:rsidP="00126883">
      <w:pPr>
        <w:pStyle w:val="TextFormat"/>
      </w:pPr>
      <w:r>
        <w:t xml:space="preserve">Implementing a 10 meters per second wind </w:t>
      </w:r>
      <w:r w:rsidRPr="0048081C">
        <w:t xml:space="preserve">threshold </w:t>
      </w:r>
      <w:r>
        <w:t>(</w:t>
      </w:r>
      <w:r w:rsidR="0013347A">
        <w:fldChar w:fldCharType="begin"/>
      </w:r>
      <w:r w:rsidR="0013347A">
        <w:instrText xml:space="preserve"> REF _Ref150821867 \h </w:instrText>
      </w:r>
      <w:r w:rsidR="0013347A">
        <w:fldChar w:fldCharType="separate"/>
      </w:r>
      <w:r w:rsidR="0010654D">
        <w:t xml:space="preserve">Figure </w:t>
      </w:r>
      <w:r w:rsidR="0010654D">
        <w:rPr>
          <w:noProof/>
        </w:rPr>
        <w:t>10</w:t>
      </w:r>
      <w:r w:rsidR="0013347A">
        <w:fldChar w:fldCharType="end"/>
      </w:r>
      <w:r>
        <w:t>)</w:t>
      </w:r>
      <w:r w:rsidRPr="0048081C">
        <w:t xml:space="preserve">, </w:t>
      </w:r>
      <w:r>
        <w:t>w</w:t>
      </w:r>
      <w:r w:rsidR="008955C2" w:rsidRPr="0048081C">
        <w:t>hile</w:t>
      </w:r>
      <w:r w:rsidR="008955C2">
        <w:t xml:space="preserve"> the trend of higher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008955C2">
        <w:rPr>
          <w:rFonts w:eastAsiaTheme="minorEastAsia"/>
        </w:rPr>
        <w:t xml:space="preserve"> in the early morning hours remains, the winter and early spring bias in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008955C2">
        <w:rPr>
          <w:rFonts w:eastAsiaTheme="minorEastAsia"/>
        </w:rPr>
        <w:t xml:space="preserve"> is drastically reduced. Both the temporal extent and magnitude of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008955C2">
        <w:rPr>
          <w:rFonts w:eastAsiaTheme="minorEastAsia"/>
        </w:rPr>
        <w:t xml:space="preserve"> are decreased throughout all hourly periods. The groups of higher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008955C2">
        <w:rPr>
          <w:rFonts w:eastAsiaTheme="minorEastAsia"/>
        </w:rPr>
        <w:t xml:space="preserve"> are also less temporally consistent. Periods of high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008955C2">
        <w:rPr>
          <w:rFonts w:eastAsiaTheme="minorEastAsia"/>
        </w:rPr>
        <w:t xml:space="preserve"> are immediately adjacent to periods of low or zero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008955C2">
        <w:rPr>
          <w:rFonts w:eastAsiaTheme="minorEastAsia"/>
        </w:rPr>
        <w:t xml:space="preserve"> (no mist/fog occurrences) resulting in a “noisier” heatmap. When comparing all </w:t>
      </w:r>
      <w:r w:rsidR="00805373">
        <w:rPr>
          <w:rFonts w:eastAsiaTheme="minorEastAsia"/>
        </w:rPr>
        <w:t>North Dakota locations</w:t>
      </w:r>
      <w:r w:rsidR="008955C2" w:rsidRPr="0048081C">
        <w:rPr>
          <w:rFonts w:eastAsiaTheme="minorEastAsia"/>
        </w:rPr>
        <w:t xml:space="preserve">, </w:t>
      </w:r>
      <w:r w:rsidR="008955C2">
        <w:rPr>
          <w:rFonts w:eastAsiaTheme="minorEastAsia"/>
        </w:rPr>
        <w:t>there is good consensus with the observed trends at KGFK</w:t>
      </w:r>
      <w:r w:rsidR="0013347A">
        <w:rPr>
          <w:rFonts w:eastAsiaTheme="minorEastAsia"/>
        </w:rPr>
        <w:t xml:space="preserve"> (</w:t>
      </w:r>
      <w:r w:rsidR="0013347A">
        <w:rPr>
          <w:rFonts w:eastAsiaTheme="minorEastAsia"/>
        </w:rPr>
        <w:fldChar w:fldCharType="begin"/>
      </w:r>
      <w:r w:rsidR="0013347A">
        <w:rPr>
          <w:rFonts w:eastAsiaTheme="minorEastAsia"/>
        </w:rPr>
        <w:instrText xml:space="preserve"> REF _Ref150821867 \h </w:instrText>
      </w:r>
      <w:r w:rsidR="0013347A">
        <w:rPr>
          <w:rFonts w:eastAsiaTheme="minorEastAsia"/>
        </w:rPr>
      </w:r>
      <w:r w:rsidR="0013347A">
        <w:rPr>
          <w:rFonts w:eastAsiaTheme="minorEastAsia"/>
        </w:rPr>
        <w:fldChar w:fldCharType="separate"/>
      </w:r>
      <w:r w:rsidR="0010654D">
        <w:t xml:space="preserve">Figure </w:t>
      </w:r>
      <w:r w:rsidR="0010654D">
        <w:rPr>
          <w:noProof/>
        </w:rPr>
        <w:t>10</w:t>
      </w:r>
      <w:r w:rsidR="0013347A">
        <w:rPr>
          <w:rFonts w:eastAsiaTheme="minorEastAsia"/>
        </w:rPr>
        <w:fldChar w:fldCharType="end"/>
      </w:r>
      <w:r w:rsidR="0013347A" w:rsidRPr="0048081C">
        <w:rPr>
          <w:rFonts w:eastAsiaTheme="minorEastAsia"/>
        </w:rPr>
        <w:t>)</w:t>
      </w:r>
      <w:r w:rsidR="008955C2">
        <w:rPr>
          <w:rFonts w:eastAsiaTheme="minorEastAsia"/>
        </w:rPr>
        <w:t xml:space="preserve">. Outside of subtle hints at KRDR and KJMS, the temporal bands of higher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008955C2">
        <w:rPr>
          <w:rFonts w:eastAsiaTheme="minorEastAsia"/>
        </w:rPr>
        <w:t xml:space="preserve"> during March have largely disappeared. While still lessened, the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008955C2">
        <w:rPr>
          <w:rFonts w:eastAsiaTheme="minorEastAsia"/>
        </w:rPr>
        <w:t xml:space="preserve"> magnitudes at KRDR are closer to the rest of the stations. Two early morning regions of locally higher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008955C2">
        <w:rPr>
          <w:rFonts w:eastAsiaTheme="minorEastAsia"/>
        </w:rPr>
        <w:t xml:space="preserve"> are </w:t>
      </w:r>
      <w:r w:rsidR="00631586">
        <w:rPr>
          <w:rFonts w:eastAsiaTheme="minorEastAsia"/>
        </w:rPr>
        <w:t>evident: a</w:t>
      </w:r>
      <w:r w:rsidR="008955C2">
        <w:rPr>
          <w:rFonts w:eastAsiaTheme="minorEastAsia"/>
        </w:rPr>
        <w:t xml:space="preserve"> </w:t>
      </w:r>
      <w:r w:rsidR="008955C2">
        <w:rPr>
          <w:rFonts w:eastAsiaTheme="minorEastAsia"/>
        </w:rPr>
        <w:lastRenderedPageBreak/>
        <w:t>mid-July to mid-September</w:t>
      </w:r>
      <w:r w:rsidR="00631586">
        <w:rPr>
          <w:rFonts w:eastAsiaTheme="minorEastAsia"/>
        </w:rPr>
        <w:t xml:space="preserve"> peak</w:t>
      </w:r>
      <w:r w:rsidR="008955C2">
        <w:rPr>
          <w:rFonts w:eastAsiaTheme="minorEastAsia"/>
        </w:rPr>
        <w:t>, and mid-February to late March</w:t>
      </w:r>
      <w:r w:rsidR="00631586">
        <w:rPr>
          <w:rFonts w:eastAsiaTheme="minorEastAsia"/>
        </w:rPr>
        <w:t xml:space="preserve"> peak</w:t>
      </w:r>
      <w:r w:rsidR="008955C2">
        <w:rPr>
          <w:rFonts w:eastAsiaTheme="minorEastAsia"/>
        </w:rPr>
        <w:t xml:space="preserve">. </w:t>
      </w:r>
      <w:r w:rsidR="00202AB6">
        <w:rPr>
          <w:rFonts w:eastAsiaTheme="minorEastAsia"/>
        </w:rPr>
        <w:t>KJMS</w:t>
      </w:r>
      <w:r w:rsidR="008955C2">
        <w:rPr>
          <w:rFonts w:eastAsiaTheme="minorEastAsia"/>
        </w:rPr>
        <w:t xml:space="preserve"> most strongly emphasize</w:t>
      </w:r>
      <w:r w:rsidR="00202AB6">
        <w:rPr>
          <w:rFonts w:eastAsiaTheme="minorEastAsia"/>
        </w:rPr>
        <w:t>s</w:t>
      </w:r>
      <w:r w:rsidR="008955C2">
        <w:rPr>
          <w:rFonts w:eastAsiaTheme="minorEastAsia"/>
        </w:rPr>
        <w:t xml:space="preserve"> </w:t>
      </w:r>
      <w:r w:rsidR="00202AB6">
        <w:rPr>
          <w:rFonts w:eastAsiaTheme="minorEastAsia"/>
        </w:rPr>
        <w:t xml:space="preserve">the local </w:t>
      </w:r>
      <w:r w:rsidR="008955C2">
        <w:rPr>
          <w:rFonts w:eastAsiaTheme="minorEastAsia"/>
        </w:rPr>
        <w:t xml:space="preserve">maxima in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008955C2">
        <w:rPr>
          <w:rFonts w:eastAsiaTheme="minorEastAsia"/>
        </w:rPr>
        <w:t xml:space="preserve"> (20 %) </w:t>
      </w:r>
      <w:r w:rsidR="00202AB6">
        <w:rPr>
          <w:rFonts w:eastAsiaTheme="minorEastAsia"/>
        </w:rPr>
        <w:t>during</w:t>
      </w:r>
      <w:r w:rsidR="008955C2">
        <w:rPr>
          <w:rFonts w:eastAsiaTheme="minorEastAsia"/>
        </w:rPr>
        <w:t xml:space="preserve"> July and August.</w:t>
      </w:r>
    </w:p>
    <w:p w14:paraId="1C92B3CD" w14:textId="77777777" w:rsidR="005F51C5" w:rsidRDefault="005F51C5" w:rsidP="005F51C5">
      <w:pPr>
        <w:pStyle w:val="Figure"/>
      </w:pPr>
      <w:r>
        <w:drawing>
          <wp:inline distT="0" distB="0" distL="0" distR="0" wp14:anchorId="5725CE8B" wp14:editId="60719ABD">
            <wp:extent cx="5920740" cy="3824605"/>
            <wp:effectExtent l="0" t="0" r="3810" b="4445"/>
            <wp:docPr id="1611920952" name="Picture 1611920952" descr="A group of images of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280253" name="Picture 1" descr="A group of images of different colors&#10;&#10;Description automatically generated with medium confidence"/>
                    <pic:cNvPicPr/>
                  </pic:nvPicPr>
                  <pic:blipFill>
                    <a:blip r:embed="rId21"/>
                    <a:stretch>
                      <a:fillRect/>
                    </a:stretch>
                  </pic:blipFill>
                  <pic:spPr>
                    <a:xfrm>
                      <a:off x="0" y="0"/>
                      <a:ext cx="5920740" cy="3824605"/>
                    </a:xfrm>
                    <a:prstGeom prst="rect">
                      <a:avLst/>
                    </a:prstGeom>
                  </pic:spPr>
                </pic:pic>
              </a:graphicData>
            </a:graphic>
          </wp:inline>
        </w:drawing>
      </w:r>
    </w:p>
    <w:p w14:paraId="2F268C7C" w14:textId="4CD11B0F" w:rsidR="008955C2" w:rsidRPr="006312CB" w:rsidRDefault="005F51C5" w:rsidP="005F51C5">
      <w:pPr>
        <w:pStyle w:val="FigureCaption"/>
      </w:pPr>
      <w:bookmarkStart w:id="75" w:name="_Ref150821867"/>
      <w:bookmarkStart w:id="76" w:name="_Toc152692039"/>
      <w:r>
        <w:t xml:space="preserve">Figure </w:t>
      </w:r>
      <w:r w:rsidR="005858A3">
        <w:fldChar w:fldCharType="begin"/>
      </w:r>
      <w:r w:rsidR="005858A3">
        <w:instrText xml:space="preserve"> SEQ Figure \* ARABIC </w:instrText>
      </w:r>
      <w:r w:rsidR="005858A3">
        <w:fldChar w:fldCharType="separate"/>
      </w:r>
      <w:r w:rsidR="00E337FD">
        <w:rPr>
          <w:noProof/>
        </w:rPr>
        <w:t>10</w:t>
      </w:r>
      <w:r w:rsidR="005858A3">
        <w:rPr>
          <w:noProof/>
        </w:rPr>
        <w:fldChar w:fldCharType="end"/>
      </w:r>
      <w:bookmarkStart w:id="77" w:name="_Toc150698146"/>
      <w:bookmarkStart w:id="78" w:name="_Toc150818407"/>
      <w:bookmarkEnd w:id="75"/>
      <w:r w:rsidRPr="002629DD">
        <w:t xml:space="preserve">. Heatmap plots using the same format as </w:t>
      </w:r>
      <w:r>
        <w:fldChar w:fldCharType="begin"/>
      </w:r>
      <w:r>
        <w:instrText xml:space="preserve"> REF _Ref150821690 \h </w:instrText>
      </w:r>
      <w:r>
        <w:fldChar w:fldCharType="separate"/>
      </w:r>
      <w:r w:rsidR="0010654D">
        <w:t xml:space="preserve">Figure </w:t>
      </w:r>
      <w:r w:rsidR="0010654D">
        <w:rPr>
          <w:noProof/>
        </w:rPr>
        <w:t>9</w:t>
      </w:r>
      <w:r>
        <w:fldChar w:fldCharType="end"/>
      </w:r>
      <w:r w:rsidRPr="002629DD">
        <w:t xml:space="preserve"> but filtered to remove wind speeds </w:t>
      </w:r>
      <w:r w:rsidR="00E337FD">
        <w:t>above</w:t>
      </w:r>
      <w:r w:rsidRPr="002629DD">
        <w:t xml:space="preserve"> 10 m/s.</w:t>
      </w:r>
      <w:bookmarkEnd w:id="77"/>
      <w:bookmarkEnd w:id="78"/>
      <w:bookmarkEnd w:id="76"/>
    </w:p>
    <w:p w14:paraId="71C76618" w14:textId="40C4B7F5" w:rsidR="005F51C5" w:rsidRDefault="008955C2" w:rsidP="00126883">
      <w:pPr>
        <w:pStyle w:val="TextFormat"/>
        <w:rPr>
          <w:i/>
          <w:iCs/>
        </w:rPr>
      </w:pPr>
      <w:r>
        <w:t xml:space="preserve">In addition to a wind speed </w:t>
      </w:r>
      <w:r w:rsidR="00631586" w:rsidRPr="002629DD">
        <w:t>filter</w:t>
      </w:r>
      <w:r w:rsidRPr="002629DD">
        <w:t xml:space="preserve">, </w:t>
      </w:r>
      <w:r w:rsidR="0013347A">
        <w:fldChar w:fldCharType="begin"/>
      </w:r>
      <w:r w:rsidR="0013347A">
        <w:instrText xml:space="preserve"> REF _Ref150822209 \h </w:instrText>
      </w:r>
      <w:r w:rsidR="0013347A">
        <w:fldChar w:fldCharType="separate"/>
      </w:r>
      <w:r w:rsidR="0010654D">
        <w:t xml:space="preserve">Figure </w:t>
      </w:r>
      <w:r w:rsidR="0010654D">
        <w:rPr>
          <w:noProof/>
        </w:rPr>
        <w:t>11</w:t>
      </w:r>
      <w:r w:rsidR="0013347A">
        <w:fldChar w:fldCharType="end"/>
      </w:r>
      <w:r w:rsidRPr="002629DD">
        <w:t xml:space="preserve"> applies</w:t>
      </w:r>
      <w:r>
        <w:t xml:space="preserve"> a temperature (&lt; 0 °C) </w:t>
      </w:r>
      <w:r w:rsidR="00631586">
        <w:t xml:space="preserve">filter </w:t>
      </w:r>
      <w:r>
        <w:t>to hourly mist/fog probabilities at KGFK</w:t>
      </w:r>
      <w:r w:rsidR="00631586">
        <w:t xml:space="preserve"> to obtain super-cooled fog occurrences</w:t>
      </w:r>
      <w:r>
        <w:t xml:space="preserve">. </w:t>
      </w:r>
      <w:r w:rsidR="00631586">
        <w:rPr>
          <w:rFonts w:eastAsiaTheme="minorEastAsia"/>
        </w:rPr>
        <w:t>Fog occurrences d</w:t>
      </w:r>
      <w:r>
        <w:rPr>
          <w:rFonts w:eastAsiaTheme="minorEastAsia"/>
        </w:rPr>
        <w:t xml:space="preserve">uring the summer months </w:t>
      </w:r>
      <w:r w:rsidR="00631586">
        <w:rPr>
          <w:rFonts w:eastAsiaTheme="minorEastAsia"/>
        </w:rPr>
        <w:t>are no long present; however, t</w:t>
      </w:r>
      <w:r>
        <w:rPr>
          <w:rFonts w:eastAsiaTheme="minorEastAsia"/>
        </w:rPr>
        <w:t xml:space="preserve">he early morning </w:t>
      </w:r>
      <w:r w:rsidR="00631586">
        <w:rPr>
          <w:rFonts w:eastAsiaTheme="minorEastAsia"/>
        </w:rPr>
        <w:t xml:space="preserve">occurrence of </w:t>
      </w:r>
      <w:r>
        <w:rPr>
          <w:rFonts w:eastAsiaTheme="minorEastAsia"/>
        </w:rPr>
        <w:t xml:space="preserve">higher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Pr>
          <w:rFonts w:eastAsiaTheme="minorEastAsia"/>
        </w:rPr>
        <w:t xml:space="preserve"> remains but is considerably less prominent. A group of locally elevated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Pr>
          <w:rFonts w:eastAsiaTheme="minorEastAsia"/>
        </w:rPr>
        <w:t xml:space="preserve"> is centered during the morning hours of February and March. These observed trends at KGFK occur in all stati</w:t>
      </w:r>
      <w:r w:rsidRPr="002629DD">
        <w:rPr>
          <w:rFonts w:eastAsiaTheme="minorEastAsia"/>
        </w:rPr>
        <w:t>ons</w:t>
      </w:r>
      <w:r w:rsidR="007E13B7">
        <w:rPr>
          <w:rFonts w:eastAsiaTheme="minorEastAsia"/>
        </w:rPr>
        <w:t xml:space="preserve"> </w:t>
      </w:r>
      <w:r w:rsidRPr="002629DD">
        <w:rPr>
          <w:rFonts w:eastAsiaTheme="minorEastAsia"/>
        </w:rPr>
        <w:t>(</w:t>
      </w:r>
      <w:r w:rsidR="005F51C5">
        <w:rPr>
          <w:rFonts w:eastAsiaTheme="minorEastAsia"/>
        </w:rPr>
        <w:fldChar w:fldCharType="begin"/>
      </w:r>
      <w:r w:rsidR="005F51C5">
        <w:rPr>
          <w:rFonts w:eastAsiaTheme="minorEastAsia"/>
        </w:rPr>
        <w:instrText xml:space="preserve"> REF _Ref150822209 \h </w:instrText>
      </w:r>
      <w:r w:rsidR="005F51C5">
        <w:rPr>
          <w:rFonts w:eastAsiaTheme="minorEastAsia"/>
        </w:rPr>
      </w:r>
      <w:r w:rsidR="005F51C5">
        <w:rPr>
          <w:rFonts w:eastAsiaTheme="minorEastAsia"/>
        </w:rPr>
        <w:fldChar w:fldCharType="separate"/>
      </w:r>
      <w:r w:rsidR="0010654D">
        <w:t xml:space="preserve">Figure </w:t>
      </w:r>
      <w:r w:rsidR="0010654D">
        <w:rPr>
          <w:noProof/>
        </w:rPr>
        <w:t>11</w:t>
      </w:r>
      <w:r w:rsidR="005F51C5">
        <w:rPr>
          <w:rFonts w:eastAsiaTheme="minorEastAsia"/>
        </w:rPr>
        <w:fldChar w:fldCharType="end"/>
      </w:r>
      <w:r w:rsidRPr="002629DD">
        <w:rPr>
          <w:rFonts w:eastAsiaTheme="minorEastAsia"/>
        </w:rPr>
        <w:t xml:space="preserve">) with </w:t>
      </w:r>
      <w:r>
        <w:rPr>
          <w:rFonts w:eastAsiaTheme="minorEastAsia"/>
        </w:rPr>
        <w:t>the group of maxima most prevalent at KFAR (17</w:t>
      </w:r>
      <w:r w:rsidR="00F96EAA">
        <w:rPr>
          <w:rFonts w:eastAsiaTheme="minorEastAsia"/>
        </w:rPr>
        <w:t xml:space="preserve"> </w:t>
      </w:r>
      <w:r>
        <w:rPr>
          <w:rFonts w:eastAsiaTheme="minorEastAsia"/>
        </w:rPr>
        <w:t>%).</w:t>
      </w:r>
      <w:r w:rsidR="005F51C5">
        <w:br w:type="page"/>
      </w:r>
    </w:p>
    <w:p w14:paraId="2B46F0D5" w14:textId="77777777" w:rsidR="005F51C5" w:rsidRDefault="005F51C5" w:rsidP="005F51C5">
      <w:pPr>
        <w:pStyle w:val="Figure"/>
        <w:keepNext/>
      </w:pPr>
      <w:bookmarkStart w:id="79" w:name="_Toc150698148"/>
      <w:bookmarkStart w:id="80" w:name="_Toc150818409"/>
      <w:bookmarkStart w:id="81" w:name="_Ref150431945"/>
      <w:r>
        <w:lastRenderedPageBreak/>
        <w:drawing>
          <wp:inline distT="0" distB="0" distL="0" distR="0" wp14:anchorId="40544230" wp14:editId="7B7BF8E9">
            <wp:extent cx="5913120" cy="3872865"/>
            <wp:effectExtent l="0" t="0" r="0" b="0"/>
            <wp:docPr id="946309643" name="Picture 94630964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30911" name="Picture 1" descr="A screenshot of a graph&#10;&#10;Description automatically generated"/>
                    <pic:cNvPicPr/>
                  </pic:nvPicPr>
                  <pic:blipFill>
                    <a:blip r:embed="rId22"/>
                    <a:stretch>
                      <a:fillRect/>
                    </a:stretch>
                  </pic:blipFill>
                  <pic:spPr>
                    <a:xfrm>
                      <a:off x="0" y="0"/>
                      <a:ext cx="5913120" cy="3872865"/>
                    </a:xfrm>
                    <a:prstGeom prst="rect">
                      <a:avLst/>
                    </a:prstGeom>
                  </pic:spPr>
                </pic:pic>
              </a:graphicData>
            </a:graphic>
          </wp:inline>
        </w:drawing>
      </w:r>
    </w:p>
    <w:p w14:paraId="71996C44" w14:textId="56981FC2" w:rsidR="005F51C5" w:rsidRDefault="005F51C5" w:rsidP="005F51C5">
      <w:pPr>
        <w:pStyle w:val="FigureCaption"/>
        <w:rPr>
          <w:noProof/>
        </w:rPr>
      </w:pPr>
      <w:bookmarkStart w:id="82" w:name="_Ref150822209"/>
      <w:bookmarkStart w:id="83" w:name="_Toc152692040"/>
      <w:r>
        <w:t xml:space="preserve">Figure </w:t>
      </w:r>
      <w:r w:rsidR="005858A3">
        <w:fldChar w:fldCharType="begin"/>
      </w:r>
      <w:r w:rsidR="005858A3">
        <w:instrText xml:space="preserve"> SEQ Figure \* ARABIC </w:instrText>
      </w:r>
      <w:r w:rsidR="005858A3">
        <w:fldChar w:fldCharType="separate"/>
      </w:r>
      <w:r w:rsidR="00E337FD">
        <w:rPr>
          <w:noProof/>
        </w:rPr>
        <w:t>11</w:t>
      </w:r>
      <w:r w:rsidR="005858A3">
        <w:rPr>
          <w:noProof/>
        </w:rPr>
        <w:fldChar w:fldCharType="end"/>
      </w:r>
      <w:bookmarkEnd w:id="82"/>
      <w:r w:rsidRPr="007A6303">
        <w:t xml:space="preserve">. </w:t>
      </w:r>
      <w:r w:rsidRPr="002629DD">
        <w:t>Heatmap</w:t>
      </w:r>
      <w:r>
        <w:t xml:space="preserve"> plots using the same format</w:t>
      </w:r>
      <w:r w:rsidRPr="007A6303">
        <w:t xml:space="preserve"> as </w:t>
      </w:r>
      <w:r>
        <w:fldChar w:fldCharType="begin"/>
      </w:r>
      <w:r>
        <w:instrText xml:space="preserve"> REF _Ref150821867 \h </w:instrText>
      </w:r>
      <w:r>
        <w:fldChar w:fldCharType="separate"/>
      </w:r>
      <w:r w:rsidR="0010654D">
        <w:t xml:space="preserve">Figure </w:t>
      </w:r>
      <w:r w:rsidR="0010654D">
        <w:rPr>
          <w:noProof/>
        </w:rPr>
        <w:t>10</w:t>
      </w:r>
      <w:r>
        <w:fldChar w:fldCharType="end"/>
      </w:r>
      <w:r w:rsidRPr="007A6303">
        <w:t>, but with temperatures below 0 °C.</w:t>
      </w:r>
      <w:bookmarkEnd w:id="83"/>
    </w:p>
    <w:bookmarkEnd w:id="79"/>
    <w:bookmarkEnd w:id="80"/>
    <w:bookmarkEnd w:id="81"/>
    <w:p w14:paraId="30B61DD4" w14:textId="0DBE8F39" w:rsidR="00CD792D" w:rsidRPr="00CD792D" w:rsidRDefault="008955C2" w:rsidP="0057198B">
      <w:pPr>
        <w:pStyle w:val="TextFormat"/>
        <w:rPr>
          <w:rFonts w:eastAsiaTheme="minorEastAsia"/>
        </w:rPr>
      </w:pPr>
      <w:r>
        <w:t xml:space="preserve">Instrumentation comparisons </w:t>
      </w:r>
      <w:r w:rsidR="00CD792D">
        <w:t>are</w:t>
      </w:r>
      <w:r w:rsidR="00781590">
        <w:t xml:space="preserve"> </w:t>
      </w:r>
      <w:r>
        <w:t>implement</w:t>
      </w:r>
      <w:r w:rsidR="00781590">
        <w:t>ed using</w:t>
      </w:r>
      <w:r>
        <w:t xml:space="preserve"> </w:t>
      </w:r>
      <w:r w:rsidR="00781590">
        <w:t xml:space="preserve">least squares, </w:t>
      </w:r>
      <w:r>
        <w:t xml:space="preserve">linear regression analysis. </w:t>
      </w:r>
      <w:r w:rsidR="00CD792D">
        <w:t>Taking</w:t>
      </w:r>
      <w:r>
        <w:t xml:space="preserve"> a collection of data points (</w:t>
      </w:r>
      <w:proofErr w:type="spellStart"/>
      <w:proofErr w:type="gramStart"/>
      <w:r>
        <w:t>x,y</w:t>
      </w:r>
      <w:proofErr w:type="spellEnd"/>
      <w:proofErr w:type="gramEnd"/>
      <w:r>
        <w:t>), there is a line</w:t>
      </w:r>
      <w:r w:rsidR="00781590">
        <w:t xml:space="preserve"> that can be fitted using the linear equation,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4"/>
        <w:gridCol w:w="336"/>
      </w:tblGrid>
      <w:tr w:rsidR="00CD792D" w14:paraId="2D3866D9" w14:textId="77777777" w:rsidTr="001408F9">
        <w:trPr>
          <w:jc w:val="center"/>
        </w:trPr>
        <w:tc>
          <w:tcPr>
            <w:tcW w:w="9085" w:type="dxa"/>
          </w:tcPr>
          <w:p w14:paraId="3D0A72B9" w14:textId="3C8313A6" w:rsidR="00CD792D" w:rsidRDefault="00C0408C" w:rsidP="001408F9">
            <w:pPr>
              <w:spacing w:line="480" w:lineRule="auto"/>
              <w:jc w:val="center"/>
              <w:rPr>
                <w:rFonts w:ascii="Times New Roman" w:eastAsiaTheme="minorEastAsia" w:hAnsi="Times New Roman" w:cs="Times New Roman"/>
                <w:sz w:val="24"/>
                <w:szCs w:val="24"/>
              </w:rPr>
            </w:pPr>
            <m:oMathPara>
              <m:oMath>
                <m:acc>
                  <m:accPr>
                    <m:ctrlPr>
                      <w:rPr>
                        <w:rFonts w:ascii="Cambria Math" w:hAnsi="Cambria Math" w:cs="Times New Roman"/>
                        <w:i/>
                        <w:sz w:val="24"/>
                        <w:szCs w:val="24"/>
                      </w:rPr>
                    </m:ctrlPr>
                  </m:accPr>
                  <m:e>
                    <m:r>
                      <w:rPr>
                        <w:rFonts w:ascii="Cambria Math" w:hAnsi="Cambria Math" w:cs="Times New Roman"/>
                        <w:sz w:val="24"/>
                        <w:szCs w:val="24"/>
                      </w:rPr>
                      <m:t>y</m:t>
                    </m:r>
                  </m:e>
                </m:acc>
                <m:r>
                  <w:rPr>
                    <w:rFonts w:ascii="Cambria Math" w:hAnsi="Cambria Math" w:cs="Times New Roman"/>
                    <w:sz w:val="24"/>
                    <w:szCs w:val="24"/>
                  </w:rPr>
                  <m:t xml:space="preserve">= </m:t>
                </m:r>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β</m:t>
                        </m:r>
                      </m:e>
                    </m:acc>
                  </m:e>
                  <m:sub>
                    <m:r>
                      <w:rPr>
                        <w:rFonts w:ascii="Cambria Math" w:hAnsi="Cambria Math" w:cs="Times New Roman"/>
                        <w:sz w:val="24"/>
                        <w:szCs w:val="24"/>
                      </w:rPr>
                      <m:t>1</m:t>
                    </m:r>
                  </m:sub>
                </m:sSub>
                <m:r>
                  <w:rPr>
                    <w:rFonts w:ascii="Cambria Math" w:hAnsi="Cambria Math" w:cs="Times New Roman"/>
                    <w:sz w:val="24"/>
                    <w:szCs w:val="24"/>
                  </w:rPr>
                  <m:t xml:space="preserve">x+ </m:t>
                </m:r>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β</m:t>
                        </m:r>
                      </m:e>
                    </m:acc>
                  </m:e>
                  <m:sub>
                    <m:r>
                      <w:rPr>
                        <w:rFonts w:ascii="Cambria Math" w:hAnsi="Cambria Math" w:cs="Times New Roman"/>
                        <w:sz w:val="24"/>
                        <w:szCs w:val="24"/>
                      </w:rPr>
                      <m:t>0</m:t>
                    </m:r>
                  </m:sub>
                </m:sSub>
                <m:r>
                  <w:rPr>
                    <w:rFonts w:ascii="Cambria Math" w:hAnsi="Cambria Math" w:cs="Times New Roman"/>
                    <w:sz w:val="24"/>
                    <w:szCs w:val="24"/>
                  </w:rPr>
                  <m:t>,</m:t>
                </m:r>
              </m:oMath>
            </m:oMathPara>
          </w:p>
        </w:tc>
        <w:tc>
          <w:tcPr>
            <w:tcW w:w="265" w:type="dxa"/>
            <w:vAlign w:val="center"/>
          </w:tcPr>
          <w:p w14:paraId="54DFEA9D" w14:textId="4E100077" w:rsidR="00CD792D" w:rsidRPr="001408F9" w:rsidRDefault="005858A3" w:rsidP="002A1C4D">
            <w:pPr>
              <w:pStyle w:val="Caption"/>
            </w:pPr>
            <w:r>
              <w:fldChar w:fldCharType="begin"/>
            </w:r>
            <w:r>
              <w:instrText xml:space="preserve"> SEQ Equation \* ARABIC </w:instrText>
            </w:r>
            <w:r>
              <w:fldChar w:fldCharType="separate"/>
            </w:r>
            <w:r w:rsidR="0010654D">
              <w:rPr>
                <w:noProof/>
              </w:rPr>
              <w:t>5</w:t>
            </w:r>
            <w:r>
              <w:rPr>
                <w:noProof/>
              </w:rPr>
              <w:fldChar w:fldCharType="end"/>
            </w:r>
          </w:p>
        </w:tc>
      </w:tr>
    </w:tbl>
    <w:p w14:paraId="02E0C5C5" w14:textId="574C99D3" w:rsidR="008955C2" w:rsidRDefault="008955C2" w:rsidP="0057198B">
      <w:pPr>
        <w:pStyle w:val="TextFormat"/>
        <w:ind w:firstLine="0"/>
      </w:pPr>
      <w:r>
        <w:t xml:space="preserve">that best fits the data wherein minimizing the sum of the squared errors with respect to the line. The coefficients </w:t>
      </w:r>
      <m:oMath>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1</m:t>
            </m:r>
          </m:sub>
        </m:sSub>
      </m:oMath>
      <w:r>
        <w:t xml:space="preserve"> and </w:t>
      </w:r>
      <m:oMath>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0</m:t>
            </m:r>
          </m:sub>
        </m:sSub>
      </m:oMath>
      <w:r>
        <w:t xml:space="preserve"> are defined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4"/>
        <w:gridCol w:w="336"/>
      </w:tblGrid>
      <w:tr w:rsidR="001408F9" w14:paraId="04D9C94F" w14:textId="77777777" w:rsidTr="005F51C5">
        <w:tc>
          <w:tcPr>
            <w:tcW w:w="9024" w:type="dxa"/>
          </w:tcPr>
          <w:p w14:paraId="0A212A40" w14:textId="747BC05B" w:rsidR="001408F9" w:rsidRPr="001408F9" w:rsidRDefault="00C0408C" w:rsidP="001408F9">
            <w:pPr>
              <w:spacing w:line="480" w:lineRule="auto"/>
              <w:jc w:val="center"/>
              <w:rPr>
                <w:rFonts w:ascii="Times New Roman" w:hAnsi="Times New Roman" w:cs="Times New Roman"/>
                <w:sz w:val="24"/>
                <w:szCs w:val="24"/>
              </w:rPr>
            </w:pPr>
            <m:oMathPara>
              <m:oMathParaPr>
                <m:jc m:val="center"/>
              </m:oMathParaPr>
              <m:oMath>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β</m:t>
                        </m:r>
                      </m:e>
                    </m:acc>
                  </m:e>
                  <m:sub>
                    <m:r>
                      <w:rPr>
                        <w:rFonts w:ascii="Cambria Math"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SS</m:t>
                        </m:r>
                      </m:e>
                      <m:sub>
                        <m:r>
                          <w:rPr>
                            <w:rFonts w:ascii="Cambria Math" w:hAnsi="Cambria Math" w:cs="Times New Roman"/>
                            <w:sz w:val="24"/>
                            <w:szCs w:val="24"/>
                          </w:rPr>
                          <m:t>xy</m:t>
                        </m:r>
                      </m:sub>
                    </m:sSub>
                  </m:num>
                  <m:den>
                    <m:sSub>
                      <m:sSubPr>
                        <m:ctrlPr>
                          <w:rPr>
                            <w:rFonts w:ascii="Cambria Math" w:hAnsi="Cambria Math" w:cs="Times New Roman"/>
                            <w:i/>
                            <w:sz w:val="24"/>
                            <w:szCs w:val="24"/>
                          </w:rPr>
                        </m:ctrlPr>
                      </m:sSubPr>
                      <m:e>
                        <m:r>
                          <w:rPr>
                            <w:rFonts w:ascii="Cambria Math" w:hAnsi="Cambria Math" w:cs="Times New Roman"/>
                            <w:sz w:val="24"/>
                            <w:szCs w:val="24"/>
                          </w:rPr>
                          <m:t>SS</m:t>
                        </m:r>
                      </m:e>
                      <m:sub>
                        <m:r>
                          <w:rPr>
                            <w:rFonts w:ascii="Cambria Math" w:hAnsi="Cambria Math" w:cs="Times New Roman"/>
                            <w:sz w:val="24"/>
                            <w:szCs w:val="24"/>
                          </w:rPr>
                          <m:t>xx</m:t>
                        </m:r>
                      </m:sub>
                    </m:sSub>
                  </m:den>
                </m:f>
                <m:r>
                  <w:rPr>
                    <w:rFonts w:ascii="Cambria Math" w:hAnsi="Cambria Math" w:cs="Times New Roman"/>
                    <w:sz w:val="24"/>
                    <w:szCs w:val="24"/>
                  </w:rPr>
                  <m:t>,</m:t>
                </m:r>
              </m:oMath>
            </m:oMathPara>
          </w:p>
        </w:tc>
        <w:tc>
          <w:tcPr>
            <w:tcW w:w="336" w:type="dxa"/>
            <w:vAlign w:val="center"/>
          </w:tcPr>
          <w:p w14:paraId="355E7C78" w14:textId="1FA5871F" w:rsidR="001408F9" w:rsidRPr="001408F9" w:rsidRDefault="001408F9" w:rsidP="001408F9">
            <w:pPr>
              <w:spacing w:line="480" w:lineRule="auto"/>
              <w:jc w:val="center"/>
              <w:rPr>
                <w:rFonts w:ascii="Times New Roman" w:hAnsi="Times New Roman" w:cs="Times New Roman"/>
                <w:sz w:val="24"/>
                <w:szCs w:val="24"/>
              </w:rPr>
            </w:pPr>
            <w:r w:rsidRPr="001408F9">
              <w:rPr>
                <w:rFonts w:ascii="Times New Roman" w:hAnsi="Times New Roman" w:cs="Times New Roman"/>
                <w:sz w:val="24"/>
                <w:szCs w:val="24"/>
              </w:rPr>
              <w:fldChar w:fldCharType="begin"/>
            </w:r>
            <w:r w:rsidRPr="001408F9">
              <w:rPr>
                <w:rFonts w:ascii="Times New Roman" w:hAnsi="Times New Roman" w:cs="Times New Roman"/>
                <w:sz w:val="24"/>
                <w:szCs w:val="24"/>
              </w:rPr>
              <w:instrText xml:space="preserve"> SEQ Equation \* ARABIC </w:instrText>
            </w:r>
            <w:r w:rsidRPr="001408F9">
              <w:rPr>
                <w:rFonts w:ascii="Times New Roman" w:hAnsi="Times New Roman" w:cs="Times New Roman"/>
                <w:sz w:val="24"/>
                <w:szCs w:val="24"/>
              </w:rPr>
              <w:fldChar w:fldCharType="separate"/>
            </w:r>
            <w:r w:rsidR="0010654D">
              <w:rPr>
                <w:rFonts w:ascii="Times New Roman" w:hAnsi="Times New Roman" w:cs="Times New Roman"/>
                <w:noProof/>
                <w:sz w:val="24"/>
                <w:szCs w:val="24"/>
              </w:rPr>
              <w:t>6</w:t>
            </w:r>
            <w:r w:rsidRPr="001408F9">
              <w:rPr>
                <w:rFonts w:ascii="Times New Roman" w:hAnsi="Times New Roman" w:cs="Times New Roman"/>
                <w:sz w:val="24"/>
                <w:szCs w:val="24"/>
              </w:rPr>
              <w:fldChar w:fldCharType="end"/>
            </w:r>
          </w:p>
        </w:tc>
      </w:tr>
      <w:tr w:rsidR="001408F9" w14:paraId="78DA45ED" w14:textId="77777777" w:rsidTr="005F51C5">
        <w:tc>
          <w:tcPr>
            <w:tcW w:w="9024" w:type="dxa"/>
          </w:tcPr>
          <w:p w14:paraId="2D71DE0C" w14:textId="534B5C69" w:rsidR="001408F9" w:rsidRPr="001408F9" w:rsidRDefault="00C0408C" w:rsidP="001408F9">
            <w:pPr>
              <w:spacing w:line="480" w:lineRule="auto"/>
              <w:jc w:val="both"/>
              <w:rPr>
                <w:rFonts w:ascii="Times New Roman" w:eastAsiaTheme="minorEastAsia" w:hAnsi="Times New Roman" w:cs="Times New Roman"/>
                <w:sz w:val="24"/>
                <w:szCs w:val="24"/>
              </w:rPr>
            </w:pPr>
            <m:oMathPara>
              <m:oMathParaPr>
                <m:jc m:val="center"/>
              </m:oMathParaPr>
              <m:oMath>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β</m:t>
                        </m:r>
                      </m:e>
                    </m:acc>
                  </m:e>
                  <m:sub>
                    <m:r>
                      <w:rPr>
                        <w:rFonts w:ascii="Cambria Math" w:hAnsi="Cambria Math" w:cs="Times New Roman"/>
                        <w:sz w:val="24"/>
                        <w:szCs w:val="24"/>
                      </w:rPr>
                      <m:t>0</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r>
                  <w:rPr>
                    <w:rFonts w:ascii="Cambria Math" w:hAnsi="Cambria Math" w:cs="Times New Roman"/>
                    <w:sz w:val="24"/>
                    <w:szCs w:val="24"/>
                  </w:rPr>
                  <m:t xml:space="preserve">- </m:t>
                </m:r>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β</m:t>
                        </m:r>
                      </m:e>
                    </m:acc>
                  </m:e>
                  <m:sub>
                    <m:r>
                      <w:rPr>
                        <w:rFonts w:ascii="Cambria Math" w:hAnsi="Cambria Math" w:cs="Times New Roman"/>
                        <w:sz w:val="24"/>
                        <w:szCs w:val="24"/>
                      </w:rPr>
                      <m:t>1</m:t>
                    </m:r>
                  </m:sub>
                </m:sSub>
                <m:acc>
                  <m:accPr>
                    <m:chr m:val="̅"/>
                    <m:ctrlPr>
                      <w:rPr>
                        <w:rFonts w:ascii="Cambria Math" w:hAnsi="Cambria Math" w:cs="Times New Roman"/>
                        <w:i/>
                        <w:sz w:val="24"/>
                        <w:szCs w:val="24"/>
                      </w:rPr>
                    </m:ctrlPr>
                  </m:accPr>
                  <m:e>
                    <m:r>
                      <w:rPr>
                        <w:rFonts w:ascii="Cambria Math" w:hAnsi="Cambria Math" w:cs="Times New Roman"/>
                        <w:sz w:val="24"/>
                        <w:szCs w:val="24"/>
                      </w:rPr>
                      <m:t>x</m:t>
                    </m:r>
                  </m:e>
                </m:acc>
                <m:r>
                  <w:rPr>
                    <w:rFonts w:ascii="Cambria Math" w:hAnsi="Cambria Math" w:cs="Times New Roman"/>
                    <w:sz w:val="24"/>
                    <w:szCs w:val="24"/>
                  </w:rPr>
                  <m:t>,</m:t>
                </m:r>
              </m:oMath>
            </m:oMathPara>
          </w:p>
        </w:tc>
        <w:tc>
          <w:tcPr>
            <w:tcW w:w="336" w:type="dxa"/>
            <w:vAlign w:val="center"/>
          </w:tcPr>
          <w:p w14:paraId="04602E3B" w14:textId="05EE0AF6" w:rsidR="001408F9" w:rsidRPr="001408F9" w:rsidRDefault="005858A3" w:rsidP="002A1C4D">
            <w:pPr>
              <w:pStyle w:val="Caption"/>
            </w:pPr>
            <w:r>
              <w:fldChar w:fldCharType="begin"/>
            </w:r>
            <w:r>
              <w:instrText xml:space="preserve"> SEQ Equation \* ARABIC </w:instrText>
            </w:r>
            <w:r>
              <w:fldChar w:fldCharType="separate"/>
            </w:r>
            <w:r w:rsidR="0010654D">
              <w:rPr>
                <w:noProof/>
              </w:rPr>
              <w:t>7</w:t>
            </w:r>
            <w:r>
              <w:rPr>
                <w:noProof/>
              </w:rPr>
              <w:fldChar w:fldCharType="end"/>
            </w:r>
          </w:p>
        </w:tc>
      </w:tr>
    </w:tbl>
    <w:p w14:paraId="6CC3F9CC" w14:textId="77777777" w:rsidR="008955C2" w:rsidRDefault="008955C2" w:rsidP="0057198B">
      <w:pPr>
        <w:pStyle w:val="TextFormat"/>
        <w:ind w:firstLine="0"/>
      </w:pPr>
      <w:proofErr w:type="gramStart"/>
      <w:r>
        <w:t>where</w:t>
      </w:r>
      <w:proofErr w:type="gramEnd"/>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4"/>
        <w:gridCol w:w="336"/>
      </w:tblGrid>
      <w:tr w:rsidR="005F05D0" w14:paraId="3D575CB8" w14:textId="77777777" w:rsidTr="005F05D0">
        <w:tc>
          <w:tcPr>
            <w:tcW w:w="9085" w:type="dxa"/>
          </w:tcPr>
          <w:p w14:paraId="13D16BAE" w14:textId="74A366A3" w:rsidR="005F05D0" w:rsidRPr="005F05D0" w:rsidRDefault="00C0408C" w:rsidP="0048081C">
            <w:pPr>
              <w:spacing w:line="480" w:lineRule="auto"/>
              <w:jc w:val="both"/>
              <w:rPr>
                <w:rFonts w:ascii="Times New Roman" w:hAnsi="Times New Roman" w:cs="Times New Roman"/>
                <w:sz w:val="24"/>
                <w:szCs w:val="24"/>
              </w:rPr>
            </w:pPr>
            <m:oMathPara>
              <m:oMathParaPr>
                <m:jc m:val="center"/>
              </m:oMathParaPr>
              <m:oMath>
                <m:sSub>
                  <m:sSubPr>
                    <m:ctrlPr>
                      <w:rPr>
                        <w:rFonts w:ascii="Cambria Math" w:hAnsi="Cambria Math" w:cs="Times New Roman"/>
                        <w:i/>
                        <w:sz w:val="24"/>
                        <w:szCs w:val="24"/>
                      </w:rPr>
                    </m:ctrlPr>
                  </m:sSubPr>
                  <m:e>
                    <m:r>
                      <w:rPr>
                        <w:rFonts w:ascii="Cambria Math" w:hAnsi="Cambria Math" w:cs="Times New Roman"/>
                        <w:sz w:val="24"/>
                        <w:szCs w:val="24"/>
                      </w:rPr>
                      <m:t>SS</m:t>
                    </m:r>
                  </m:e>
                  <m:sub>
                    <m:r>
                      <w:rPr>
                        <w:rFonts w:ascii="Cambria Math" w:hAnsi="Cambria Math" w:cs="Times New Roman"/>
                        <w:sz w:val="24"/>
                        <w:szCs w:val="24"/>
                      </w:rPr>
                      <m:t>xx</m:t>
                    </m:r>
                  </m:sub>
                </m:sSub>
                <m:r>
                  <w:rPr>
                    <w:rFonts w:ascii="Cambria Math" w:hAnsi="Cambria Math" w:cs="Times New Roman"/>
                    <w:sz w:val="24"/>
                    <w:szCs w:val="24"/>
                  </w:rPr>
                  <m:t>=</m:t>
                </m:r>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n</m:t>
                        </m:r>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x</m:t>
                                </m:r>
                              </m:e>
                            </m:nary>
                          </m:e>
                        </m:d>
                      </m:e>
                      <m:sup>
                        <m:r>
                          <w:rPr>
                            <w:rFonts w:ascii="Cambria Math" w:hAnsi="Cambria Math" w:cs="Times New Roman"/>
                            <w:sz w:val="24"/>
                            <w:szCs w:val="24"/>
                          </w:rPr>
                          <m:t>2</m:t>
                        </m:r>
                      </m:sup>
                    </m:sSup>
                    <m:r>
                      <w:rPr>
                        <w:rFonts w:ascii="Cambria Math" w:hAnsi="Cambria Math" w:cs="Times New Roman"/>
                        <w:sz w:val="24"/>
                        <w:szCs w:val="24"/>
                      </w:rPr>
                      <m:t>,</m:t>
                    </m:r>
                  </m:e>
                </m:nary>
              </m:oMath>
            </m:oMathPara>
          </w:p>
        </w:tc>
        <w:tc>
          <w:tcPr>
            <w:tcW w:w="265" w:type="dxa"/>
            <w:vAlign w:val="center"/>
          </w:tcPr>
          <w:p w14:paraId="641CBBA4" w14:textId="4EA93824" w:rsidR="005F05D0" w:rsidRPr="005F05D0" w:rsidRDefault="005858A3" w:rsidP="002A1C4D">
            <w:pPr>
              <w:pStyle w:val="Caption"/>
            </w:pPr>
            <w:r>
              <w:fldChar w:fldCharType="begin"/>
            </w:r>
            <w:r>
              <w:instrText xml:space="preserve"> SEQ Equation \* ARABIC </w:instrText>
            </w:r>
            <w:r>
              <w:fldChar w:fldCharType="separate"/>
            </w:r>
            <w:r w:rsidR="0010654D">
              <w:rPr>
                <w:noProof/>
              </w:rPr>
              <w:t>8</w:t>
            </w:r>
            <w:r>
              <w:rPr>
                <w:noProof/>
              </w:rPr>
              <w:fldChar w:fldCharType="end"/>
            </w:r>
          </w:p>
        </w:tc>
      </w:tr>
      <w:tr w:rsidR="005F05D0" w14:paraId="12B9FE97" w14:textId="77777777" w:rsidTr="005F05D0">
        <w:tc>
          <w:tcPr>
            <w:tcW w:w="9085" w:type="dxa"/>
          </w:tcPr>
          <w:p w14:paraId="5BA56967" w14:textId="1733115D" w:rsidR="005F05D0" w:rsidRDefault="00C0408C" w:rsidP="0048081C">
            <w:pPr>
              <w:spacing w:line="480" w:lineRule="auto"/>
              <w:jc w:val="both"/>
              <w:rPr>
                <w:rFonts w:ascii="Times New Roman" w:eastAsia="Calibri"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SS</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xy</m:t>
                    </m:r>
                  </m:e>
                </m:nary>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n</m:t>
                    </m:r>
                  </m:den>
                </m:f>
                <m:d>
                  <m:dPr>
                    <m:ctrlPr>
                      <w:rPr>
                        <w:rFonts w:ascii="Cambria Math" w:eastAsiaTheme="minorEastAsia" w:hAnsi="Cambria Math" w:cs="Times New Roman"/>
                        <w:i/>
                        <w:sz w:val="24"/>
                        <w:szCs w:val="24"/>
                      </w:rPr>
                    </m:ctrlPr>
                  </m:dPr>
                  <m:e>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x</m:t>
                        </m:r>
                      </m:e>
                    </m:nary>
                  </m:e>
                </m:d>
                <m:d>
                  <m:dPr>
                    <m:ctrlPr>
                      <w:rPr>
                        <w:rFonts w:ascii="Cambria Math" w:eastAsiaTheme="minorEastAsia" w:hAnsi="Cambria Math" w:cs="Times New Roman"/>
                        <w:i/>
                        <w:sz w:val="24"/>
                        <w:szCs w:val="24"/>
                      </w:rPr>
                    </m:ctrlPr>
                  </m:dPr>
                  <m:e>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y</m:t>
                        </m:r>
                      </m:e>
                    </m:nary>
                  </m:e>
                </m:d>
                <m:r>
                  <w:rPr>
                    <w:rFonts w:ascii="Cambria Math" w:eastAsiaTheme="minorEastAsia" w:hAnsi="Cambria Math" w:cs="Times New Roman"/>
                    <w:sz w:val="24"/>
                    <w:szCs w:val="24"/>
                  </w:rPr>
                  <m:t>,</m:t>
                </m:r>
              </m:oMath>
            </m:oMathPara>
          </w:p>
        </w:tc>
        <w:tc>
          <w:tcPr>
            <w:tcW w:w="265" w:type="dxa"/>
            <w:vAlign w:val="center"/>
          </w:tcPr>
          <w:p w14:paraId="73C975D2" w14:textId="1BD782F8" w:rsidR="005F05D0" w:rsidRPr="005F05D0" w:rsidRDefault="005858A3" w:rsidP="002A1C4D">
            <w:pPr>
              <w:pStyle w:val="Caption"/>
            </w:pPr>
            <w:r>
              <w:fldChar w:fldCharType="begin"/>
            </w:r>
            <w:r>
              <w:instrText xml:space="preserve"> SEQ Equation \* ARABIC </w:instrText>
            </w:r>
            <w:r>
              <w:fldChar w:fldCharType="separate"/>
            </w:r>
            <w:r w:rsidR="0010654D">
              <w:rPr>
                <w:noProof/>
              </w:rPr>
              <w:t>9</w:t>
            </w:r>
            <w:r>
              <w:rPr>
                <w:noProof/>
              </w:rPr>
              <w:fldChar w:fldCharType="end"/>
            </w:r>
          </w:p>
        </w:tc>
      </w:tr>
    </w:tbl>
    <w:p w14:paraId="4B8B91F9" w14:textId="5E87167B" w:rsidR="008955C2" w:rsidRDefault="00C0408C" w:rsidP="0057198B">
      <w:pPr>
        <w:pStyle w:val="TextFormat"/>
        <w:ind w:firstLine="0"/>
      </w:pPr>
      <m:oMath>
        <m:acc>
          <m:accPr>
            <m:chr m:val="̅"/>
            <m:ctrlPr>
              <w:rPr>
                <w:rFonts w:ascii="Cambria Math" w:hAnsi="Cambria Math"/>
                <w:i/>
              </w:rPr>
            </m:ctrlPr>
          </m:accPr>
          <m:e>
            <m:r>
              <w:rPr>
                <w:rFonts w:ascii="Cambria Math" w:hAnsi="Cambria Math"/>
              </w:rPr>
              <m:t>x</m:t>
            </m:r>
          </m:e>
        </m:acc>
      </m:oMath>
      <w:r w:rsidR="008955C2" w:rsidRPr="00D40554">
        <w:t xml:space="preserve"> </w:t>
      </w:r>
      <w:r w:rsidR="008955C2">
        <w:t xml:space="preserve">is the mean of the x-values, </w:t>
      </w:r>
      <m:oMath>
        <m:acc>
          <m:accPr>
            <m:chr m:val="̅"/>
            <m:ctrlPr>
              <w:rPr>
                <w:rFonts w:ascii="Cambria Math" w:hAnsi="Cambria Math"/>
                <w:i/>
              </w:rPr>
            </m:ctrlPr>
          </m:accPr>
          <m:e>
            <m:r>
              <w:rPr>
                <w:rFonts w:ascii="Cambria Math" w:hAnsi="Cambria Math"/>
              </w:rPr>
              <m:t>y</m:t>
            </m:r>
          </m:e>
        </m:acc>
      </m:oMath>
      <w:r w:rsidR="008955C2">
        <w:t xml:space="preserve"> is the mean of the y-values, and </w:t>
      </w:r>
      <m:oMath>
        <m:r>
          <w:rPr>
            <w:rFonts w:ascii="Cambria Math" w:hAnsi="Cambria Math"/>
          </w:rPr>
          <m:t>n</m:t>
        </m:r>
      </m:oMath>
      <w:r w:rsidR="008955C2">
        <w:t xml:space="preserve"> is the total number of data points. The WXT536 and CS125 </w:t>
      </w:r>
      <w:r w:rsidR="00DF0204">
        <w:t>instruments are used as</w:t>
      </w:r>
      <w:r w:rsidR="008955C2">
        <w:t xml:space="preserve"> independent (or predictor) </w:t>
      </w:r>
      <m:oMath>
        <m:r>
          <w:rPr>
            <w:rFonts w:ascii="Cambria Math" w:hAnsi="Cambria Math"/>
          </w:rPr>
          <m:t>x</m:t>
        </m:r>
      </m:oMath>
      <w:r w:rsidR="008955C2">
        <w:t xml:space="preserve">-values </w:t>
      </w:r>
      <w:r w:rsidR="00DF0204">
        <w:t xml:space="preserve">and </w:t>
      </w:r>
      <w:r w:rsidR="008955C2">
        <w:t xml:space="preserve">the IMet-XQ2 and MiniOFS </w:t>
      </w:r>
      <w:r w:rsidR="00DF0204">
        <w:t xml:space="preserve">instruments, respectfully, </w:t>
      </w:r>
      <w:r w:rsidR="005F05D0">
        <w:t>are the</w:t>
      </w:r>
      <w:r w:rsidR="008955C2">
        <w:t xml:space="preserve"> dependent (or response) </w:t>
      </w:r>
      <m:oMath>
        <m:r>
          <w:rPr>
            <w:rFonts w:ascii="Cambria Math" w:hAnsi="Cambria Math"/>
          </w:rPr>
          <m:t>y</m:t>
        </m:r>
      </m:oMath>
      <w:r w:rsidR="008955C2">
        <w:t>-values. The coefficient of determination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008955C2">
        <w:t xml:space="preserve">) is represented as the proportion of variation in the dependent </w:t>
      </w:r>
      <m:oMath>
        <m:r>
          <w:rPr>
            <w:rFonts w:ascii="Cambria Math" w:hAnsi="Cambria Math"/>
          </w:rPr>
          <m:t>y</m:t>
        </m:r>
      </m:oMath>
      <w:r w:rsidR="008955C2">
        <w:t xml:space="preserve">-values that can be explained by a simple linear regression model.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008955C2">
        <w:t xml:space="preserve"> is defined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4"/>
        <w:gridCol w:w="456"/>
      </w:tblGrid>
      <w:tr w:rsidR="005F05D0" w14:paraId="47B72804" w14:textId="77777777" w:rsidTr="005F05D0">
        <w:tc>
          <w:tcPr>
            <w:tcW w:w="9085" w:type="dxa"/>
          </w:tcPr>
          <w:p w14:paraId="3C0F8A69" w14:textId="0181A5C0" w:rsidR="005F05D0" w:rsidRPr="005F05D0" w:rsidRDefault="00C0408C" w:rsidP="0048081C">
            <w:pPr>
              <w:spacing w:line="480" w:lineRule="auto"/>
              <w:jc w:val="both"/>
              <w:rPr>
                <w:rFonts w:ascii="Times New Roman" w:eastAsiaTheme="minorEastAsia" w:hAnsi="Times New Roman" w:cs="Times New Roman"/>
                <w:sz w:val="24"/>
                <w:szCs w:val="24"/>
              </w:rPr>
            </w:pPr>
            <m:oMathPara>
              <m:oMathParaPr>
                <m:jc m:val="center"/>
              </m:oMathParaPr>
              <m:oMath>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SSE</m:t>
                    </m:r>
                  </m:num>
                  <m:den>
                    <m:r>
                      <w:rPr>
                        <w:rFonts w:ascii="Cambria Math" w:hAnsi="Cambria Math" w:cs="Times New Roman"/>
                        <w:sz w:val="24"/>
                        <w:szCs w:val="24"/>
                      </w:rPr>
                      <m:t>SST</m:t>
                    </m:r>
                  </m:den>
                </m:f>
                <m:r>
                  <w:rPr>
                    <w:rFonts w:ascii="Cambria Math" w:hAnsi="Cambria Math" w:cs="Times New Roman"/>
                    <w:sz w:val="24"/>
                    <w:szCs w:val="24"/>
                  </w:rPr>
                  <m:t>,</m:t>
                </m:r>
              </m:oMath>
            </m:oMathPara>
          </w:p>
        </w:tc>
        <w:tc>
          <w:tcPr>
            <w:tcW w:w="265" w:type="dxa"/>
            <w:vAlign w:val="center"/>
          </w:tcPr>
          <w:p w14:paraId="3B3DAA33" w14:textId="7CE1A1D6" w:rsidR="005F05D0" w:rsidRPr="005F05D0" w:rsidRDefault="005858A3" w:rsidP="002A1C4D">
            <w:pPr>
              <w:pStyle w:val="Caption"/>
            </w:pPr>
            <w:r>
              <w:fldChar w:fldCharType="begin"/>
            </w:r>
            <w:r>
              <w:instrText xml:space="preserve"> SEQ Equation \* ARABIC </w:instrText>
            </w:r>
            <w:r>
              <w:fldChar w:fldCharType="separate"/>
            </w:r>
            <w:r w:rsidR="0010654D">
              <w:rPr>
                <w:noProof/>
              </w:rPr>
              <w:t>10</w:t>
            </w:r>
            <w:r>
              <w:rPr>
                <w:noProof/>
              </w:rPr>
              <w:fldChar w:fldCharType="end"/>
            </w:r>
          </w:p>
        </w:tc>
      </w:tr>
    </w:tbl>
    <w:p w14:paraId="777478AF" w14:textId="77777777" w:rsidR="008955C2" w:rsidRDefault="008955C2" w:rsidP="0057198B">
      <w:pPr>
        <w:pStyle w:val="TextFormat"/>
        <w:ind w:firstLine="0"/>
      </w:pPr>
      <w:r>
        <w:t>where SSE and SST are the error sum of squares and total sum of squares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5"/>
        <w:gridCol w:w="119"/>
        <w:gridCol w:w="456"/>
      </w:tblGrid>
      <w:tr w:rsidR="00E2043A" w14:paraId="63250E3B" w14:textId="77777777" w:rsidTr="00E2043A">
        <w:tc>
          <w:tcPr>
            <w:tcW w:w="9014" w:type="dxa"/>
            <w:gridSpan w:val="2"/>
          </w:tcPr>
          <w:p w14:paraId="29262463" w14:textId="6A6E5676" w:rsidR="00E2043A" w:rsidRDefault="00E2043A" w:rsidP="0048081C">
            <w:pPr>
              <w:spacing w:line="480" w:lineRule="auto"/>
              <w:jc w:val="both"/>
              <w:rPr>
                <w:rFonts w:ascii="Times New Roman" w:hAnsi="Times New Roman" w:cs="Times New Roman"/>
                <w:sz w:val="24"/>
                <w:szCs w:val="24"/>
              </w:rPr>
            </w:pPr>
            <m:oMathPara>
              <m:oMath>
                <m:r>
                  <w:rPr>
                    <w:rFonts w:ascii="Cambria Math" w:hAnsi="Cambria Math" w:cs="Times New Roman"/>
                    <w:sz w:val="24"/>
                    <w:szCs w:val="24"/>
                  </w:rPr>
                  <m:t>SSE=</m:t>
                </m:r>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y</m:t>
                                    </m:r>
                                  </m:e>
                                </m:acc>
                              </m:e>
                              <m:sub>
                                <m:r>
                                  <w:rPr>
                                    <w:rFonts w:ascii="Cambria Math" w:hAnsi="Cambria Math" w:cs="Times New Roman"/>
                                    <w:sz w:val="24"/>
                                    <w:szCs w:val="24"/>
                                  </w:rPr>
                                  <m:t>i</m:t>
                                </m:r>
                              </m:sub>
                            </m:sSub>
                          </m:e>
                        </m:d>
                      </m:e>
                      <m:sup>
                        <m:r>
                          <w:rPr>
                            <w:rFonts w:ascii="Cambria Math" w:hAnsi="Cambria Math" w:cs="Times New Roman"/>
                            <w:sz w:val="24"/>
                            <w:szCs w:val="24"/>
                          </w:rPr>
                          <m:t>2</m:t>
                        </m:r>
                      </m:sup>
                    </m:sSup>
                    <m:r>
                      <w:rPr>
                        <w:rFonts w:ascii="Cambria Math" w:hAnsi="Cambria Math" w:cs="Times New Roman"/>
                        <w:sz w:val="24"/>
                        <w:szCs w:val="24"/>
                      </w:rPr>
                      <m:t>=</m:t>
                    </m:r>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w:rPr>
                                    <w:rFonts w:ascii="Cambria Math" w:hAnsi="Cambria Math" w:cs="Times New Roman"/>
                                    <w:sz w:val="24"/>
                                    <w:szCs w:val="24"/>
                                  </w:rPr>
                                  <m:t>-</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β</m:t>
                                            </m:r>
                                          </m:e>
                                        </m:acc>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β</m:t>
                                            </m:r>
                                          </m:e>
                                        </m:acc>
                                      </m:e>
                                      <m:sub>
                                        <m:r>
                                          <w:rPr>
                                            <w:rFonts w:ascii="Cambria Math" w:hAnsi="Cambria Math" w:cs="Times New Roman"/>
                                            <w:sz w:val="24"/>
                                            <w:szCs w:val="24"/>
                                          </w:rPr>
                                          <m:t>1</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m:t>
                                        </m:r>
                                      </m:sub>
                                    </m:sSub>
                                  </m:e>
                                </m:d>
                              </m:e>
                            </m:d>
                          </m:e>
                          <m:sup>
                            <m:r>
                              <w:rPr>
                                <w:rFonts w:ascii="Cambria Math" w:hAnsi="Cambria Math" w:cs="Times New Roman"/>
                                <w:sz w:val="24"/>
                                <w:szCs w:val="24"/>
                              </w:rPr>
                              <m:t>2</m:t>
                            </m:r>
                          </m:sup>
                        </m:sSup>
                      </m:e>
                    </m:nary>
                  </m:e>
                </m:nary>
                <m:r>
                  <w:rPr>
                    <w:rFonts w:ascii="Cambria Math" w:hAnsi="Cambria Math" w:cs="Times New Roman"/>
                    <w:sz w:val="24"/>
                    <w:szCs w:val="24"/>
                  </w:rPr>
                  <m:t>,</m:t>
                </m:r>
              </m:oMath>
            </m:oMathPara>
          </w:p>
        </w:tc>
        <w:tc>
          <w:tcPr>
            <w:tcW w:w="336" w:type="dxa"/>
            <w:vAlign w:val="center"/>
          </w:tcPr>
          <w:p w14:paraId="374EBFE9" w14:textId="7678DAF4" w:rsidR="00E2043A" w:rsidRDefault="005858A3" w:rsidP="002A1C4D">
            <w:pPr>
              <w:pStyle w:val="Caption"/>
            </w:pPr>
            <w:r>
              <w:fldChar w:fldCharType="begin"/>
            </w:r>
            <w:r>
              <w:instrText xml:space="preserve"> SEQ Equation \* ARABIC </w:instrText>
            </w:r>
            <w:r>
              <w:fldChar w:fldCharType="separate"/>
            </w:r>
            <w:r w:rsidR="0010654D">
              <w:rPr>
                <w:noProof/>
              </w:rPr>
              <w:t>11</w:t>
            </w:r>
            <w:r>
              <w:rPr>
                <w:noProof/>
              </w:rPr>
              <w:fldChar w:fldCharType="end"/>
            </w:r>
          </w:p>
        </w:tc>
      </w:tr>
      <w:tr w:rsidR="00E2043A" w14:paraId="507E4CB0" w14:textId="77777777" w:rsidTr="00E2043A">
        <w:tc>
          <w:tcPr>
            <w:tcW w:w="8893" w:type="dxa"/>
          </w:tcPr>
          <w:p w14:paraId="1F9FDD4E" w14:textId="6C0C9845" w:rsidR="00E2043A" w:rsidRDefault="00E2043A" w:rsidP="0048081C">
            <w:pPr>
              <w:spacing w:line="480" w:lineRule="auto"/>
              <w:jc w:val="both"/>
              <w:rPr>
                <w:rFonts w:ascii="Times New Roman" w:hAnsi="Times New Roman" w:cs="Times New Roman"/>
                <w:sz w:val="24"/>
                <w:szCs w:val="24"/>
              </w:rPr>
            </w:pPr>
            <m:oMathPara>
              <m:oMath>
                <m:r>
                  <w:rPr>
                    <w:rFonts w:ascii="Cambria Math" w:hAnsi="Cambria Math" w:cs="Times New Roman"/>
                    <w:sz w:val="24"/>
                    <w:szCs w:val="24"/>
                  </w:rPr>
                  <m:t xml:space="preserve">SST= </m:t>
                </m:r>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e>
                </m:nary>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p>
                      <m:sSupPr>
                        <m:ctrlPr>
                          <w:rPr>
                            <w:rFonts w:ascii="Cambria Math" w:eastAsiaTheme="minorEastAsia" w:hAnsi="Cambria Math" w:cs="Times New Roman"/>
                            <w:i/>
                            <w:sz w:val="24"/>
                            <w:szCs w:val="24"/>
                          </w:rPr>
                        </m:ctrlPr>
                      </m:sSup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e>
                                </m:nary>
                              </m:e>
                            </m:d>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n</m:t>
                        </m:r>
                      </m:den>
                    </m:f>
                  </m:e>
                </m:nary>
                <m:r>
                  <w:rPr>
                    <w:rFonts w:ascii="Cambria Math" w:eastAsiaTheme="minorEastAsia" w:hAnsi="Cambria Math" w:cs="Times New Roman"/>
                    <w:sz w:val="24"/>
                    <w:szCs w:val="24"/>
                  </w:rPr>
                  <m:t>.</m:t>
                </m:r>
              </m:oMath>
            </m:oMathPara>
          </w:p>
        </w:tc>
        <w:tc>
          <w:tcPr>
            <w:tcW w:w="457" w:type="dxa"/>
            <w:gridSpan w:val="2"/>
            <w:vAlign w:val="center"/>
          </w:tcPr>
          <w:p w14:paraId="52F9B414" w14:textId="6B626920" w:rsidR="00E2043A" w:rsidRDefault="005858A3" w:rsidP="002A1C4D">
            <w:pPr>
              <w:pStyle w:val="Caption"/>
            </w:pPr>
            <w:r>
              <w:fldChar w:fldCharType="begin"/>
            </w:r>
            <w:r>
              <w:instrText xml:space="preserve"> SEQ Equation \* ARABIC </w:instrText>
            </w:r>
            <w:r>
              <w:fldChar w:fldCharType="separate"/>
            </w:r>
            <w:r w:rsidR="0010654D">
              <w:rPr>
                <w:noProof/>
              </w:rPr>
              <w:t>12</w:t>
            </w:r>
            <w:r>
              <w:rPr>
                <w:noProof/>
              </w:rPr>
              <w:fldChar w:fldCharType="end"/>
            </w:r>
          </w:p>
        </w:tc>
      </w:tr>
    </w:tbl>
    <w:p w14:paraId="60A7F8C2" w14:textId="58C96EE4" w:rsidR="008955C2" w:rsidRDefault="00C0408C" w:rsidP="0057198B">
      <w:pPr>
        <w:pStyle w:val="TextFormat"/>
        <w:ind w:firstLine="0"/>
      </w:pPr>
      <m:oMath>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=1</m:t>
        </m:r>
      </m:oMath>
      <w:r w:rsidR="008955C2">
        <w:t xml:space="preserve"> indicates a perfect linear correlation. The standard error of estimate (</w:t>
      </w:r>
      <m:oMath>
        <m:r>
          <w:rPr>
            <w:rFonts w:ascii="Cambria Math" w:hAnsi="Cambria Math"/>
          </w:rPr>
          <m:t>SE</m:t>
        </m:r>
      </m:oMath>
      <w:r w:rsidR="008955C2">
        <w:t>) is another method for measuring the amount of error in a least squares linear regression and is defined as</w:t>
      </w:r>
      <w:r w:rsidR="00E2043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4"/>
        <w:gridCol w:w="456"/>
      </w:tblGrid>
      <w:tr w:rsidR="00E2043A" w14:paraId="0621501F" w14:textId="77777777" w:rsidTr="00E2043A">
        <w:tc>
          <w:tcPr>
            <w:tcW w:w="9085" w:type="dxa"/>
          </w:tcPr>
          <w:p w14:paraId="54E6F7D2" w14:textId="4B7E161B" w:rsidR="00E2043A" w:rsidRDefault="00E2043A" w:rsidP="0048081C">
            <w:pPr>
              <w:spacing w:line="48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 xml:space="preserve">SE= </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e>
                        </m:d>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x</m:t>
                                        </m:r>
                                      </m:e>
                                    </m:acc>
                                  </m:e>
                                </m:d>
                              </m:e>
                              <m:sup>
                                <m:r>
                                  <w:rPr>
                                    <w:rFonts w:ascii="Cambria Math" w:hAnsi="Cambria Math" w:cs="Times New Roman"/>
                                    <w:sz w:val="24"/>
                                    <w:szCs w:val="24"/>
                                  </w:rPr>
                                  <m:t>2</m:t>
                                </m:r>
                              </m:sup>
                            </m:sSup>
                          </m:e>
                        </m:nary>
                      </m:num>
                      <m:den>
                        <m:d>
                          <m:dPr>
                            <m:ctrlPr>
                              <w:rPr>
                                <w:rFonts w:ascii="Cambria Math" w:hAnsi="Cambria Math" w:cs="Times New Roman"/>
                                <w:i/>
                                <w:sz w:val="24"/>
                                <w:szCs w:val="24"/>
                              </w:rPr>
                            </m:ctrlPr>
                          </m:dPr>
                          <m:e>
                            <m:r>
                              <w:rPr>
                                <w:rFonts w:ascii="Cambria Math" w:hAnsi="Cambria Math" w:cs="Times New Roman"/>
                                <w:sz w:val="24"/>
                                <w:szCs w:val="24"/>
                              </w:rPr>
                              <m:t>n-2</m:t>
                            </m:r>
                          </m:e>
                        </m:d>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e>
                        </m:nary>
                      </m:den>
                    </m:f>
                  </m:e>
                </m:rad>
              </m:oMath>
            </m:oMathPara>
          </w:p>
        </w:tc>
        <w:tc>
          <w:tcPr>
            <w:tcW w:w="265" w:type="dxa"/>
            <w:vAlign w:val="center"/>
          </w:tcPr>
          <w:p w14:paraId="3BBE1466" w14:textId="6D6A8B35" w:rsidR="00E2043A" w:rsidRPr="00E2043A" w:rsidRDefault="005858A3" w:rsidP="002A1C4D">
            <w:pPr>
              <w:pStyle w:val="Caption"/>
              <w:rPr>
                <w:rFonts w:eastAsiaTheme="minorEastAsia"/>
              </w:rPr>
            </w:pPr>
            <w:r>
              <w:fldChar w:fldCharType="begin"/>
            </w:r>
            <w:r>
              <w:instrText xml:space="preserve"> SEQ Equation \* ARABIC </w:instrText>
            </w:r>
            <w:r>
              <w:fldChar w:fldCharType="separate"/>
            </w:r>
            <w:r w:rsidR="0010654D">
              <w:rPr>
                <w:noProof/>
              </w:rPr>
              <w:t>13</w:t>
            </w:r>
            <w:r>
              <w:rPr>
                <w:noProof/>
              </w:rPr>
              <w:fldChar w:fldCharType="end"/>
            </w:r>
          </w:p>
        </w:tc>
      </w:tr>
    </w:tbl>
    <w:p w14:paraId="238004A1" w14:textId="6FE69EC5" w:rsidR="008955C2" w:rsidRDefault="00C0408C" w:rsidP="005F51C5">
      <w:pPr>
        <w:pStyle w:val="TextFormat"/>
        <w:ind w:firstLine="0"/>
      </w:pPr>
      <m:oMath>
        <m:acc>
          <m:accPr>
            <m:ctrlPr>
              <w:rPr>
                <w:rFonts w:ascii="Cambria Math" w:hAnsi="Cambria Math"/>
                <w:i/>
              </w:rPr>
            </m:ctrlPr>
          </m:accPr>
          <m:e>
            <m:r>
              <w:rPr>
                <w:rFonts w:ascii="Cambria Math" w:hAnsi="Cambria Math"/>
              </w:rPr>
              <m:t>y</m:t>
            </m:r>
          </m:e>
        </m:acc>
      </m:oMath>
      <w:r w:rsidR="008955C2">
        <w:t xml:space="preserve">,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008955C2">
        <w:t xml:space="preserve">, and </w:t>
      </w:r>
      <m:oMath>
        <m:r>
          <w:rPr>
            <w:rFonts w:ascii="Cambria Math" w:hAnsi="Cambria Math"/>
          </w:rPr>
          <m:t>SE</m:t>
        </m:r>
      </m:oMath>
      <w:r w:rsidR="008955C2">
        <w:t xml:space="preserve"> are calculated and residuals are plotted for each linear regression. Due to differing maximum observable visibilities between the MiniOFS (4 k</w:t>
      </w:r>
      <w:r w:rsidR="006C3513">
        <w:t>m</w:t>
      </w:r>
      <w:r w:rsidR="008955C2">
        <w:t>) and CS125 (90 k</w:t>
      </w:r>
      <w:r w:rsidR="006C3513">
        <w:t>m</w:t>
      </w:r>
      <w:r w:rsidR="008955C2">
        <w:t xml:space="preserve">), regression </w:t>
      </w:r>
      <w:r w:rsidR="006C3513">
        <w:t>analysis</w:t>
      </w:r>
      <w:r w:rsidR="00300140">
        <w:t xml:space="preserve"> is </w:t>
      </w:r>
      <w:r w:rsidR="006C3513">
        <w:t>performed</w:t>
      </w:r>
      <w:r w:rsidR="00300140">
        <w:t xml:space="preserve"> on </w:t>
      </w:r>
      <w:r w:rsidR="006C3513">
        <w:t xml:space="preserve">a </w:t>
      </w:r>
      <w:r w:rsidR="001A5BF3">
        <w:t xml:space="preserve">filtered </w:t>
      </w:r>
      <w:r w:rsidR="00300140">
        <w:t xml:space="preserve">data set </w:t>
      </w:r>
      <w:r w:rsidR="006C3513">
        <w:t>for</w:t>
      </w:r>
      <w:r w:rsidR="00300140">
        <w:t xml:space="preserve"> visibility below </w:t>
      </w:r>
      <w:r w:rsidR="008955C2">
        <w:t>4 k</w:t>
      </w:r>
      <w:r w:rsidR="006C3513">
        <w:t xml:space="preserve">m. Based on </w:t>
      </w:r>
      <w:r w:rsidR="001A5BF3">
        <w:t>MiniOFS overestimation concerns (</w:t>
      </w:r>
      <w:r w:rsidR="006C3513">
        <w:fldChar w:fldCharType="begin"/>
      </w:r>
      <w:r w:rsidR="00AE2EC7">
        <w:instrText xml:space="preserve"> ADDIN ZOTERO_ITEM CSL_CITATION {"citationID":"6NteazXN","properties":{"formattedCitation":"(Michna et al. 2013)","plainCitation":"(Michna et al. 2013)","dontUpdate":true,"noteIndex":0},"citationItems":[{"id":151,"uris":["http://zotero.org/users/local/LzhHb4Ct/items/S6W9YJ4P"],"itemData":{"id":151,"type":"article-journal","abstract":"We developed a small version of the Caltech active strand cloud water collector (CASCC) for biogeochemical investigations in ecological applications. The device is battery powered and thus allows operation at locations where mains power is not available. The collector is designed for sampling periods of up to one week, depending on fog frequency. Our new device is equipped with standard sensors for air temperature, relative humidity, wind, and horizontal visibility for fog detection with a low-cost optical sensor. In mountain areas and during times when clouds are thin the installation of the visibility sensor became a key issue, which limits the potential to estimate liquid water content of the sampled fog. Field tests with 5 devices at three different sites in the Swiss Alps (Niesen) and the Jura Mountains (Lägeren, Switzerland) during two extended summer seasons in 2006 and 2007 showed that in almost all cases it was possible to obtain sample volumes which were large enough for the examination of basic inorganic chemistry of the collected cloud water. Collection rates varied typically from 12 to 30mLh−1. The fog droplet cutoff diameter is ≈6μm, which is low enough to include all droplet sizes that are relevant for the liquid water content of typical fog types in the collected samples. From theoretical assumptions of the collection efficiency and theoretical droplet spectra it is possible to estimate the liquid water content of the sampled fog or cloud. Our new fog collector can be constructed and operated at relatively low costs. In combination with chemical and isotopic analyses of the sampled water, this allows to quantify nutrient and pollutant fluxes as is typically needed in ecosystem biogeochemistry studies.","container-title":"Atmospheric Research","DOI":"10.1016/j.atmosres.2013.02.009","ISSN":"0169-8095","journalAbbreviation":"Atmospheric Research","page":"24-34","source":"ScienceDirect","title":"MiniCASCC — A battery driven fog collector for ecosystem research","volume":"128","author":[{"family":"Michna","given":"Pavel"},{"family":"Schenk","given":"Jürg"},{"family":"Werner","given":"Roland A."},{"family":"Eugster","given":"Werner"}],"issued":{"date-parts":[["2013",7,1]]}}}],"schema":"https://github.com/citation-style-language/schema/raw/master/csl-citation.json"} </w:instrText>
      </w:r>
      <w:r w:rsidR="006C3513">
        <w:fldChar w:fldCharType="separate"/>
      </w:r>
      <w:r w:rsidR="006C3513" w:rsidRPr="006C3513">
        <w:t>Michna et al. 2013)</w:t>
      </w:r>
      <w:r w:rsidR="006C3513">
        <w:fldChar w:fldCharType="end"/>
      </w:r>
      <w:r w:rsidR="006C3513">
        <w:t xml:space="preserve">, regression analysis </w:t>
      </w:r>
      <w:r w:rsidR="001A5BF3">
        <w:t>is also performed on a filtered data set for visibility below 1 km.</w:t>
      </w:r>
    </w:p>
    <w:p w14:paraId="013E62A5" w14:textId="12A813BB" w:rsidR="008955C2" w:rsidRDefault="008955C2" w:rsidP="0057198B">
      <w:pPr>
        <w:pStyle w:val="TextFormat"/>
        <w:rPr>
          <w:rFonts w:eastAsiaTheme="minorEastAsia"/>
        </w:rPr>
      </w:pPr>
      <w:r>
        <w:rPr>
          <w:rFonts w:eastAsiaTheme="minorEastAsia"/>
        </w:rPr>
        <w:t>Linear regressions comparing the IMet-XQ2 temperature sensor to both the CS12</w:t>
      </w:r>
      <w:r w:rsidRPr="001A5BF3">
        <w:rPr>
          <w:rFonts w:eastAsiaTheme="minorEastAsia"/>
        </w:rPr>
        <w:t>5 and WXT536 te</w:t>
      </w:r>
      <w:r w:rsidRPr="00286D26">
        <w:rPr>
          <w:rFonts w:eastAsiaTheme="minorEastAsia"/>
        </w:rPr>
        <w:t>mperature</w:t>
      </w:r>
      <w:r>
        <w:rPr>
          <w:rFonts w:eastAsiaTheme="minorEastAsia"/>
        </w:rPr>
        <w:t xml:space="preserve"> sensors show strong correlation</w:t>
      </w:r>
      <w:r w:rsidR="0013347A">
        <w:rPr>
          <w:rFonts w:eastAsiaTheme="minorEastAsia"/>
        </w:rPr>
        <w:t xml:space="preserve"> (</w:t>
      </w:r>
      <w:r w:rsidR="0013347A">
        <w:rPr>
          <w:rFonts w:eastAsiaTheme="minorEastAsia"/>
        </w:rPr>
        <w:fldChar w:fldCharType="begin"/>
      </w:r>
      <w:r w:rsidR="0013347A">
        <w:rPr>
          <w:rFonts w:eastAsiaTheme="minorEastAsia"/>
        </w:rPr>
        <w:instrText xml:space="preserve"> REF _Ref150981824 \h </w:instrText>
      </w:r>
      <w:r w:rsidR="0013347A">
        <w:rPr>
          <w:rFonts w:eastAsiaTheme="minorEastAsia"/>
        </w:rPr>
      </w:r>
      <w:r w:rsidR="0013347A">
        <w:rPr>
          <w:rFonts w:eastAsiaTheme="minorEastAsia"/>
        </w:rPr>
        <w:fldChar w:fldCharType="separate"/>
      </w:r>
      <w:r w:rsidR="0010654D">
        <w:t xml:space="preserve">Figure </w:t>
      </w:r>
      <w:r w:rsidR="0010654D">
        <w:rPr>
          <w:noProof/>
        </w:rPr>
        <w:t>12</w:t>
      </w:r>
      <w:r w:rsidR="0013347A">
        <w:rPr>
          <w:rFonts w:eastAsiaTheme="minorEastAsia"/>
        </w:rPr>
        <w:fldChar w:fldCharType="end"/>
      </w:r>
      <w:r w:rsidR="0013347A">
        <w:rPr>
          <w:rFonts w:eastAsiaTheme="minorEastAsia"/>
        </w:rPr>
        <w:t>)</w:t>
      </w:r>
      <w:r>
        <w:rPr>
          <w:rFonts w:eastAsiaTheme="minorEastAsia"/>
        </w:rPr>
        <w:t xml:space="preserve">.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Pr>
          <w:rFonts w:eastAsiaTheme="minorEastAsia"/>
        </w:rPr>
        <w:t xml:space="preserve">-values for both sensors are </w:t>
      </w:r>
      <w:r>
        <w:rPr>
          <w:rFonts w:eastAsiaTheme="minorEastAsia"/>
        </w:rPr>
        <w:lastRenderedPageBreak/>
        <w:t xml:space="preserve">0.999 with considerably low values for </w:t>
      </w:r>
      <m:oMath>
        <m:r>
          <w:rPr>
            <w:rFonts w:ascii="Cambria Math" w:hAnsi="Cambria Math"/>
          </w:rPr>
          <m:t>SE</m:t>
        </m:r>
      </m:oMath>
      <w:r>
        <w:rPr>
          <w:rFonts w:eastAsiaTheme="minorEastAsia"/>
        </w:rPr>
        <w:t xml:space="preserve">. Values for </w:t>
      </w:r>
      <m:oMath>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1</m:t>
            </m:r>
          </m:sub>
        </m:sSub>
        <m:r>
          <w:rPr>
            <w:rFonts w:ascii="Cambria Math" w:hAnsi="Cambria Math"/>
          </w:rPr>
          <m:t>≈1</m:t>
        </m:r>
      </m:oMath>
      <w:r>
        <w:rPr>
          <w:rFonts w:eastAsiaTheme="minorEastAsia"/>
        </w:rPr>
        <w:t xml:space="preserve"> and </w:t>
      </w:r>
      <m:oMath>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0</m:t>
            </m:r>
          </m:sub>
        </m:sSub>
        <m:r>
          <w:rPr>
            <w:rFonts w:ascii="Cambria Math" w:hAnsi="Cambria Math"/>
          </w:rPr>
          <m:t>≈0</m:t>
        </m:r>
      </m:oMath>
      <w:r>
        <w:rPr>
          <w:rFonts w:eastAsiaTheme="minorEastAsia"/>
        </w:rPr>
        <w:t xml:space="preserve"> approach a one-to-one linear relationship for IMet-XQ2 temperature sensor comparisons to the CS125 and WXT536 temperature sensors. Scatter plots show tight clustering around </w:t>
      </w:r>
      <m:oMath>
        <m:acc>
          <m:accPr>
            <m:ctrlPr>
              <w:rPr>
                <w:rFonts w:ascii="Cambria Math" w:hAnsi="Cambria Math"/>
                <w:i/>
              </w:rPr>
            </m:ctrlPr>
          </m:accPr>
          <m:e>
            <m:r>
              <w:rPr>
                <w:rFonts w:ascii="Cambria Math" w:hAnsi="Cambria Math"/>
              </w:rPr>
              <m:t>y</m:t>
            </m:r>
          </m:e>
        </m:acc>
      </m:oMath>
      <w:r>
        <w:rPr>
          <w:rFonts w:eastAsiaTheme="minorEastAsia"/>
        </w:rPr>
        <w:t xml:space="preserve"> with all residuals less than </w:t>
      </w:r>
      <m:oMath>
        <m:d>
          <m:dPr>
            <m:begChr m:val="|"/>
            <m:endChr m:val="|"/>
            <m:ctrlPr>
              <w:rPr>
                <w:rFonts w:ascii="Cambria Math" w:eastAsiaTheme="minorEastAsia" w:hAnsi="Cambria Math"/>
                <w:i/>
              </w:rPr>
            </m:ctrlPr>
          </m:dPr>
          <m:e>
            <m:r>
              <w:rPr>
                <w:rFonts w:ascii="Cambria Math" w:eastAsiaTheme="minorEastAsia" w:hAnsi="Cambria Math"/>
              </w:rPr>
              <m:t>4.5</m:t>
            </m:r>
          </m:e>
        </m:d>
      </m:oMath>
      <w:r>
        <w:rPr>
          <w:rFonts w:eastAsiaTheme="minorEastAsia"/>
        </w:rPr>
        <w:t xml:space="preserve"> and the majority less than </w:t>
      </w:r>
      <m:oMath>
        <m:d>
          <m:dPr>
            <m:begChr m:val="|"/>
            <m:endChr m:val="|"/>
            <m:ctrlPr>
              <w:rPr>
                <w:rFonts w:ascii="Cambria Math" w:eastAsiaTheme="minorEastAsia" w:hAnsi="Cambria Math"/>
                <w:i/>
              </w:rPr>
            </m:ctrlPr>
          </m:dPr>
          <m:e>
            <m:r>
              <w:rPr>
                <w:rFonts w:ascii="Cambria Math" w:eastAsiaTheme="minorEastAsia" w:hAnsi="Cambria Math"/>
              </w:rPr>
              <m:t>1.0</m:t>
            </m:r>
          </m:e>
        </m:d>
      </m:oMath>
      <w:r>
        <w:rPr>
          <w:rFonts w:eastAsiaTheme="minorEastAsia"/>
        </w:rPr>
        <w:t xml:space="preserve">. For both comparisons, there seems to be greater clustering of positive residual outliers and particularly between 2.5 °C and 7.5 °C. The IMet-XQ2 relative humidity linear regression comparisons to the </w:t>
      </w:r>
      <w:r w:rsidRPr="001A5BF3">
        <w:rPr>
          <w:rFonts w:eastAsiaTheme="minorEastAsia"/>
        </w:rPr>
        <w:t>CS125 and</w:t>
      </w:r>
      <w:r>
        <w:rPr>
          <w:rFonts w:eastAsiaTheme="minorEastAsia"/>
        </w:rPr>
        <w:t xml:space="preserve"> the </w:t>
      </w:r>
      <w:r w:rsidRPr="001A5BF3">
        <w:rPr>
          <w:rFonts w:eastAsiaTheme="minorEastAsia"/>
        </w:rPr>
        <w:t>WXT536 also</w:t>
      </w:r>
      <w:r>
        <w:rPr>
          <w:rFonts w:eastAsiaTheme="minorEastAsia"/>
        </w:rPr>
        <w:t xml:space="preserve"> show a strong linear correlation;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r>
          <w:rPr>
            <w:rFonts w:ascii="Cambria Math" w:eastAsiaTheme="minorEastAsia" w:hAnsi="Cambria Math"/>
          </w:rPr>
          <m:t>=0.978</m:t>
        </m:r>
      </m:oMath>
      <w:r>
        <w:rPr>
          <w:rFonts w:eastAsiaTheme="minorEastAsia"/>
        </w:rPr>
        <w:t xml:space="preserve">, </w:t>
      </w:r>
      <m:oMath>
        <m:r>
          <w:rPr>
            <w:rFonts w:ascii="Cambria Math" w:eastAsiaTheme="minorEastAsia" w:hAnsi="Cambria Math"/>
          </w:rPr>
          <m:t>0.975</m:t>
        </m:r>
      </m:oMath>
      <w:r>
        <w:rPr>
          <w:rFonts w:eastAsiaTheme="minorEastAsia"/>
        </w:rPr>
        <w:t xml:space="preserve"> respectively</w:t>
      </w:r>
      <w:r w:rsidR="0013347A">
        <w:rPr>
          <w:rFonts w:eastAsiaTheme="minorEastAsia"/>
        </w:rPr>
        <w:t xml:space="preserve"> (</w:t>
      </w:r>
      <w:r w:rsidR="0013347A">
        <w:rPr>
          <w:rFonts w:eastAsiaTheme="minorEastAsia"/>
        </w:rPr>
        <w:fldChar w:fldCharType="begin"/>
      </w:r>
      <w:r w:rsidR="0013347A">
        <w:rPr>
          <w:rFonts w:eastAsiaTheme="minorEastAsia"/>
        </w:rPr>
        <w:instrText xml:space="preserve"> REF _Ref150981865 \h </w:instrText>
      </w:r>
      <w:r w:rsidR="0013347A">
        <w:rPr>
          <w:rFonts w:eastAsiaTheme="minorEastAsia"/>
        </w:rPr>
      </w:r>
      <w:r w:rsidR="0013347A">
        <w:rPr>
          <w:rFonts w:eastAsiaTheme="minorEastAsia"/>
        </w:rPr>
        <w:fldChar w:fldCharType="separate"/>
      </w:r>
      <w:r w:rsidR="0010654D">
        <w:t xml:space="preserve">Figure </w:t>
      </w:r>
      <w:r w:rsidR="0010654D">
        <w:rPr>
          <w:noProof/>
        </w:rPr>
        <w:t>13</w:t>
      </w:r>
      <w:r w:rsidR="0013347A">
        <w:rPr>
          <w:rFonts w:eastAsiaTheme="minorEastAsia"/>
        </w:rPr>
        <w:fldChar w:fldCharType="end"/>
      </w:r>
      <w:r w:rsidR="0013347A">
        <w:rPr>
          <w:rFonts w:eastAsiaTheme="minorEastAsia"/>
        </w:rPr>
        <w:t>)</w:t>
      </w:r>
      <w:r>
        <w:rPr>
          <w:rFonts w:eastAsiaTheme="minorEastAsia"/>
        </w:rPr>
        <w:t xml:space="preserve">. However, discrepancies arise as </w:t>
      </w:r>
      <m:oMath>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1</m:t>
            </m:r>
          </m:sub>
        </m:sSub>
      </m:oMath>
      <w:r>
        <w:rPr>
          <w:rFonts w:eastAsiaTheme="minorEastAsia"/>
        </w:rPr>
        <w:t xml:space="preserve"> (slope) </w:t>
      </w:r>
      <w:r w:rsidRPr="001A5BF3">
        <w:rPr>
          <w:rFonts w:eastAsiaTheme="minorEastAsia"/>
        </w:rPr>
        <w:t>values of 0.9096 and 0.8356 show a</w:t>
      </w:r>
      <w:r>
        <w:rPr>
          <w:rFonts w:eastAsiaTheme="minorEastAsia"/>
        </w:rPr>
        <w:t xml:space="preserve"> departure from one-to-one relationships. Residual magnitudes increase with higher relative humidities and is reflected in a greater spread of data at relative humidity values less than 40 percent. </w:t>
      </w:r>
      <m:oMath>
        <m:r>
          <w:rPr>
            <w:rFonts w:ascii="Cambria Math" w:hAnsi="Cambria Math"/>
          </w:rPr>
          <m:t>SE</m:t>
        </m:r>
      </m:oMath>
      <w:r>
        <w:rPr>
          <w:rFonts w:eastAsiaTheme="minorEastAsia"/>
        </w:rPr>
        <w:t xml:space="preserve"> values are an order of magnitude higher (</w:t>
      </w:r>
      <m:oMath>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-4</m:t>
            </m:r>
          </m:sup>
        </m:sSup>
        <m:r>
          <w:rPr>
            <w:rFonts w:ascii="Cambria Math" w:eastAsiaTheme="minorEastAsia" w:hAnsi="Cambria Math"/>
          </w:rPr>
          <m:t>)</m:t>
        </m:r>
      </m:oMath>
      <w:r>
        <w:rPr>
          <w:rFonts w:eastAsiaTheme="minorEastAsia"/>
        </w:rPr>
        <w:t xml:space="preserve"> with the relative humidity linear regressions than compared to the temperature linear regressions (</w:t>
      </w:r>
      <m:oMath>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-5</m:t>
            </m:r>
          </m:sup>
        </m:sSup>
      </m:oMath>
      <w:r>
        <w:rPr>
          <w:rFonts w:eastAsiaTheme="minorEastAsia"/>
        </w:rPr>
        <w:t>).</w:t>
      </w:r>
    </w:p>
    <w:p w14:paraId="31559F65" w14:textId="6374002C" w:rsidR="00257A51" w:rsidRDefault="0013347A" w:rsidP="001B787D">
      <w:pPr>
        <w:pStyle w:val="TextFormat"/>
        <w:rPr>
          <w:rFonts w:eastAsiaTheme="minorEastAsia"/>
        </w:rPr>
      </w:pPr>
      <w:r>
        <w:rPr>
          <w:rFonts w:eastAsiaTheme="minorEastAsia"/>
        </w:rPr>
        <w:t xml:space="preserve">Due to the discrepancies of maximum </w:t>
      </w:r>
      <w:r w:rsidR="000712BF">
        <w:rPr>
          <w:rFonts w:eastAsiaTheme="minorEastAsia"/>
        </w:rPr>
        <w:t>observable</w:t>
      </w:r>
      <w:r>
        <w:rPr>
          <w:rFonts w:eastAsiaTheme="minorEastAsia"/>
        </w:rPr>
        <w:t xml:space="preserve"> visibilities between the MiniOFS (4 km) and CS125 (80</w:t>
      </w:r>
      <w:r w:rsidR="003A7E1B">
        <w:rPr>
          <w:rFonts w:eastAsiaTheme="minorEastAsia"/>
        </w:rPr>
        <w:t xml:space="preserve"> </w:t>
      </w:r>
      <w:r>
        <w:rPr>
          <w:rFonts w:eastAsiaTheme="minorEastAsia"/>
        </w:rPr>
        <w:t xml:space="preserve">km) visibility sensors, </w:t>
      </w:r>
      <w:r>
        <w:rPr>
          <w:rFonts w:eastAsiaTheme="minorEastAsia"/>
        </w:rPr>
        <w:fldChar w:fldCharType="begin"/>
      </w:r>
      <w:r>
        <w:rPr>
          <w:rFonts w:eastAsiaTheme="minorEastAsia"/>
        </w:rPr>
        <w:instrText xml:space="preserve"> REF _Ref150981915 \h </w:instrText>
      </w:r>
      <w:r>
        <w:rPr>
          <w:rFonts w:eastAsiaTheme="minorEastAsia"/>
        </w:rPr>
      </w:r>
      <w:r>
        <w:rPr>
          <w:rFonts w:eastAsiaTheme="minorEastAsia"/>
        </w:rPr>
        <w:fldChar w:fldCharType="separate"/>
      </w:r>
      <w:r w:rsidR="0010654D">
        <w:t xml:space="preserve">Figure </w:t>
      </w:r>
      <w:r w:rsidR="0010654D">
        <w:rPr>
          <w:noProof/>
        </w:rPr>
        <w:t>14</w:t>
      </w:r>
      <w:r>
        <w:rPr>
          <w:rFonts w:eastAsiaTheme="minorEastAsia"/>
        </w:rPr>
        <w:fldChar w:fldCharType="end"/>
      </w:r>
      <w:r w:rsidR="008955C2" w:rsidRPr="001A5BF3">
        <w:rPr>
          <w:rFonts w:eastAsiaTheme="minorEastAsia"/>
        </w:rPr>
        <w:t xml:space="preserve"> show</w:t>
      </w:r>
      <w:r w:rsidR="008955C2">
        <w:rPr>
          <w:rFonts w:eastAsiaTheme="minorEastAsia"/>
        </w:rPr>
        <w:t>s the linear regression for the MiniOFS and CS125 visibility sensors when both instruments are recording visibilities below</w:t>
      </w:r>
      <w:r w:rsidR="00E337FD">
        <w:rPr>
          <w:rFonts w:eastAsiaTheme="minorEastAsia"/>
        </w:rPr>
        <w:t xml:space="preserve"> or equal to</w:t>
      </w:r>
      <w:r w:rsidR="008955C2">
        <w:rPr>
          <w:rFonts w:eastAsiaTheme="minorEastAsia"/>
        </w:rPr>
        <w:t xml:space="preserve"> 4 k</w:t>
      </w:r>
      <w:r w:rsidR="009B78D0">
        <w:rPr>
          <w:rFonts w:eastAsiaTheme="minorEastAsia"/>
        </w:rPr>
        <w:t>ilometers</w:t>
      </w:r>
      <w:r w:rsidR="008955C2">
        <w:rPr>
          <w:rFonts w:eastAsiaTheme="minorEastAsia"/>
        </w:rPr>
        <w:t xml:space="preserve">. An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oMath>
      <w:r w:rsidR="008955C2">
        <w:rPr>
          <w:rFonts w:eastAsiaTheme="minorEastAsia"/>
        </w:rPr>
        <w:t xml:space="preserve"> value of 0.6</w:t>
      </w:r>
      <w:r>
        <w:rPr>
          <w:rFonts w:eastAsiaTheme="minorEastAsia"/>
        </w:rPr>
        <w:t>54</w:t>
      </w:r>
      <w:r w:rsidR="008955C2">
        <w:rPr>
          <w:rFonts w:eastAsiaTheme="minorEastAsia"/>
        </w:rPr>
        <w:t xml:space="preserve"> and an </w:t>
      </w:r>
      <m:oMath>
        <m:r>
          <w:rPr>
            <w:rFonts w:ascii="Cambria Math" w:hAnsi="Cambria Math"/>
          </w:rPr>
          <m:t>SE</m:t>
        </m:r>
      </m:oMath>
      <w:r w:rsidR="008955C2">
        <w:rPr>
          <w:rFonts w:eastAsiaTheme="minorEastAsia"/>
        </w:rPr>
        <w:t xml:space="preserve"> magnitude of </w:t>
      </w:r>
      <m:oMath>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-2</m:t>
            </m:r>
          </m:sup>
        </m:sSup>
      </m:oMath>
      <w:r w:rsidR="008955C2">
        <w:rPr>
          <w:rFonts w:eastAsiaTheme="minorEastAsia"/>
        </w:rPr>
        <w:t xml:space="preserve"> indicate weaker linear correlation between the two sensors. There is considerable spread in the data and residuals, albeit a tighter spread within visibilit</w:t>
      </w:r>
      <w:r w:rsidR="00AF0DA0">
        <w:rPr>
          <w:rFonts w:eastAsiaTheme="minorEastAsia"/>
        </w:rPr>
        <w:t>ies</w:t>
      </w:r>
      <w:r w:rsidR="008955C2">
        <w:rPr>
          <w:rFonts w:eastAsiaTheme="minorEastAsia"/>
        </w:rPr>
        <w:t xml:space="preserve"> less than </w:t>
      </w:r>
      <w:r>
        <w:rPr>
          <w:rFonts w:eastAsiaTheme="minorEastAsia"/>
        </w:rPr>
        <w:t>2</w:t>
      </w:r>
      <w:r w:rsidR="008955C2">
        <w:rPr>
          <w:rFonts w:eastAsiaTheme="minorEastAsia"/>
        </w:rPr>
        <w:t>000 meter</w:t>
      </w:r>
      <w:r w:rsidR="008955C2" w:rsidRPr="00FF3051">
        <w:rPr>
          <w:rFonts w:eastAsiaTheme="minorEastAsia"/>
        </w:rPr>
        <w:t>s.</w:t>
      </w:r>
      <w:r w:rsidR="000712BF">
        <w:rPr>
          <w:rFonts w:eastAsiaTheme="minorEastAsia"/>
        </w:rPr>
        <w:t xml:space="preserve"> Clustered bands of data are evident in the regression plot and emphasized in the residuals.</w:t>
      </w:r>
      <w:r w:rsidR="008955C2" w:rsidRPr="00FF3051">
        <w:rPr>
          <w:rFonts w:eastAsiaTheme="minorEastAsia"/>
        </w:rPr>
        <w:t xml:space="preserve"> </w:t>
      </w:r>
      <w:r w:rsidR="00AF0DA0">
        <w:rPr>
          <w:rFonts w:eastAsiaTheme="minorEastAsia"/>
        </w:rPr>
        <w:t xml:space="preserve">However, no fog events were captured </w:t>
      </w:r>
      <w:r w:rsidR="00840A06">
        <w:rPr>
          <w:rFonts w:eastAsiaTheme="minorEastAsia"/>
        </w:rPr>
        <w:t>during</w:t>
      </w:r>
      <w:r w:rsidR="00AF0DA0">
        <w:rPr>
          <w:rFonts w:eastAsiaTheme="minorEastAsia"/>
        </w:rPr>
        <w:t xml:space="preserve"> this sampling windo</w:t>
      </w:r>
      <w:r w:rsidR="00AF0DA0" w:rsidRPr="00AF0DA0">
        <w:rPr>
          <w:rFonts w:eastAsiaTheme="minorEastAsia"/>
        </w:rPr>
        <w:t xml:space="preserve">w. </w:t>
      </w:r>
      <w:r w:rsidR="0010654D">
        <w:rPr>
          <w:rFonts w:eastAsiaTheme="minorEastAsia"/>
        </w:rPr>
        <w:fldChar w:fldCharType="begin"/>
      </w:r>
      <w:r w:rsidR="0010654D">
        <w:rPr>
          <w:rFonts w:eastAsiaTheme="minorEastAsia"/>
        </w:rPr>
        <w:instrText xml:space="preserve"> REF _Ref152692512 \h </w:instrText>
      </w:r>
      <w:r w:rsidR="0010654D">
        <w:rPr>
          <w:rFonts w:eastAsiaTheme="minorEastAsia"/>
        </w:rPr>
      </w:r>
      <w:r w:rsidR="0010654D">
        <w:rPr>
          <w:rFonts w:eastAsiaTheme="minorEastAsia"/>
        </w:rPr>
        <w:fldChar w:fldCharType="separate"/>
      </w:r>
      <w:r w:rsidR="0010654D">
        <w:t xml:space="preserve">Figure </w:t>
      </w:r>
      <w:r w:rsidR="0010654D">
        <w:rPr>
          <w:noProof/>
        </w:rPr>
        <w:t>15</w:t>
      </w:r>
      <w:r w:rsidR="0010654D">
        <w:rPr>
          <w:rFonts w:eastAsiaTheme="minorEastAsia"/>
        </w:rPr>
        <w:fldChar w:fldCharType="end"/>
      </w:r>
      <w:r w:rsidR="00AF0DA0" w:rsidRPr="00AF0DA0">
        <w:rPr>
          <w:rFonts w:eastAsiaTheme="minorEastAsia"/>
        </w:rPr>
        <w:t xml:space="preserve"> display</w:t>
      </w:r>
      <w:r w:rsidR="007E13B7">
        <w:rPr>
          <w:rFonts w:eastAsiaTheme="minorEastAsia"/>
        </w:rPr>
        <w:t>s</w:t>
      </w:r>
      <w:r w:rsidR="00AF0DA0" w:rsidRPr="00AF0DA0">
        <w:rPr>
          <w:rFonts w:eastAsiaTheme="minorEastAsia"/>
        </w:rPr>
        <w:t xml:space="preserve"> </w:t>
      </w:r>
      <w:r w:rsidR="003A7E1B">
        <w:rPr>
          <w:rFonts w:eastAsiaTheme="minorEastAsia"/>
        </w:rPr>
        <w:t xml:space="preserve">a </w:t>
      </w:r>
      <w:r w:rsidR="00AF0DA0" w:rsidRPr="00AF0DA0">
        <w:rPr>
          <w:rFonts w:eastAsiaTheme="minorEastAsia"/>
        </w:rPr>
        <w:t xml:space="preserve">linear </w:t>
      </w:r>
      <w:r w:rsidR="00AF0DA0">
        <w:rPr>
          <w:rFonts w:eastAsiaTheme="minorEastAsia"/>
        </w:rPr>
        <w:t xml:space="preserve">regression for </w:t>
      </w:r>
      <w:r w:rsidR="009B78D0">
        <w:rPr>
          <w:rFonts w:eastAsiaTheme="minorEastAsia"/>
        </w:rPr>
        <w:t>the MiniOFS and CS125</w:t>
      </w:r>
      <w:r w:rsidR="003A7E1B">
        <w:rPr>
          <w:rFonts w:eastAsiaTheme="minorEastAsia"/>
        </w:rPr>
        <w:t xml:space="preserve"> visibility sensors</w:t>
      </w:r>
      <w:r w:rsidR="009B78D0">
        <w:rPr>
          <w:rFonts w:eastAsiaTheme="minorEastAsia"/>
        </w:rPr>
        <w:t xml:space="preserve"> during </w:t>
      </w:r>
      <w:r w:rsidR="00AF0DA0">
        <w:rPr>
          <w:rFonts w:eastAsiaTheme="minorEastAsia"/>
        </w:rPr>
        <w:t xml:space="preserve">a fog event at the </w:t>
      </w:r>
      <w:proofErr w:type="spellStart"/>
      <w:r w:rsidR="00AF0DA0">
        <w:rPr>
          <w:rFonts w:eastAsiaTheme="minorEastAsia"/>
        </w:rPr>
        <w:t>MetTrailer</w:t>
      </w:r>
      <w:proofErr w:type="spellEnd"/>
      <w:r w:rsidR="00AF0DA0">
        <w:rPr>
          <w:rFonts w:eastAsiaTheme="minorEastAsia"/>
        </w:rPr>
        <w:t xml:space="preserve"> on March 22</w:t>
      </w:r>
      <w:r w:rsidR="00AF0DA0" w:rsidRPr="00AF0DA0">
        <w:rPr>
          <w:rFonts w:eastAsiaTheme="minorEastAsia"/>
          <w:vertAlign w:val="superscript"/>
        </w:rPr>
        <w:t>nd</w:t>
      </w:r>
      <w:r w:rsidR="00AF0DA0">
        <w:rPr>
          <w:rFonts w:eastAsiaTheme="minorEastAsia"/>
        </w:rPr>
        <w:t>, 2022</w:t>
      </w:r>
      <w:r w:rsidR="009B78D0">
        <w:rPr>
          <w:rFonts w:eastAsiaTheme="minorEastAsia"/>
        </w:rPr>
        <w:t xml:space="preserve">. Better linear correlation occurs as indicated by </w:t>
      </w:r>
      <w:r w:rsidR="003A7E1B">
        <w:rPr>
          <w:rFonts w:eastAsiaTheme="minorEastAsia"/>
        </w:rPr>
        <w:t xml:space="preserve">an </w:t>
      </w:r>
      <w:r w:rsidR="009B78D0">
        <w:rPr>
          <w:rFonts w:eastAsiaTheme="minorEastAsia"/>
        </w:rPr>
        <w:t xml:space="preserve">increased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oMath>
      <w:r w:rsidR="009B78D0">
        <w:rPr>
          <w:rFonts w:eastAsiaTheme="minorEastAsia"/>
        </w:rPr>
        <w:t xml:space="preserve"> value of 0.716 for the 1 k</w:t>
      </w:r>
      <w:r w:rsidR="006F34D1">
        <w:rPr>
          <w:rFonts w:eastAsiaTheme="minorEastAsia"/>
        </w:rPr>
        <w:t>m</w:t>
      </w:r>
      <w:r w:rsidR="009B78D0">
        <w:rPr>
          <w:rFonts w:eastAsiaTheme="minorEastAsia"/>
        </w:rPr>
        <w:t xml:space="preserve"> regression. A tighter spread in the data and residuals again occurs at the lowest visibilities. A </w:t>
      </w:r>
      <m:oMath>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1</m:t>
            </m:r>
          </m:sub>
        </m:sSub>
      </m:oMath>
      <w:r w:rsidR="009B78D0">
        <w:rPr>
          <w:rFonts w:eastAsiaTheme="minorEastAsia"/>
        </w:rPr>
        <w:t xml:space="preserve"> value of 0.8850 and </w:t>
      </w:r>
      <m:oMath>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0</m:t>
            </m:r>
          </m:sub>
        </m:sSub>
      </m:oMath>
      <w:r w:rsidR="009B78D0">
        <w:rPr>
          <w:rFonts w:eastAsiaTheme="minorEastAsia"/>
        </w:rPr>
        <w:t xml:space="preserve"> value of 111.90 </w:t>
      </w:r>
      <w:r w:rsidR="00164577">
        <w:rPr>
          <w:rFonts w:eastAsiaTheme="minorEastAsia"/>
        </w:rPr>
        <w:t xml:space="preserve">for the 1 kilometer </w:t>
      </w:r>
      <w:r w:rsidR="00164577">
        <w:rPr>
          <w:rFonts w:eastAsiaTheme="minorEastAsia"/>
        </w:rPr>
        <w:lastRenderedPageBreak/>
        <w:t xml:space="preserve">regression </w:t>
      </w:r>
      <w:r w:rsidR="009B78D0">
        <w:rPr>
          <w:rFonts w:eastAsiaTheme="minorEastAsia"/>
        </w:rPr>
        <w:t>indicate a</w:t>
      </w:r>
      <w:r w:rsidR="00164577">
        <w:rPr>
          <w:rFonts w:eastAsiaTheme="minorEastAsia"/>
        </w:rPr>
        <w:t>n increasing</w:t>
      </w:r>
      <w:r w:rsidR="009B78D0">
        <w:rPr>
          <w:rFonts w:eastAsiaTheme="minorEastAsia"/>
        </w:rPr>
        <w:t xml:space="preserve"> departure from </w:t>
      </w:r>
      <w:r w:rsidR="00164577">
        <w:rPr>
          <w:rFonts w:eastAsiaTheme="minorEastAsia"/>
        </w:rPr>
        <w:t>a one-to-one relationship at the lower visibilities and is evident in the clustering trends.</w:t>
      </w:r>
    </w:p>
    <w:p w14:paraId="00708286" w14:textId="77777777" w:rsidR="001B787D" w:rsidRDefault="001B787D" w:rsidP="00126883">
      <w:pPr>
        <w:pStyle w:val="Figure"/>
      </w:pPr>
      <w:r>
        <w:drawing>
          <wp:inline distT="0" distB="0" distL="0" distR="0" wp14:anchorId="3691D76B" wp14:editId="42C6D783">
            <wp:extent cx="5943600" cy="3740785"/>
            <wp:effectExtent l="0" t="0" r="0" b="0"/>
            <wp:docPr id="627085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85327" name=""/>
                    <pic:cNvPicPr/>
                  </pic:nvPicPr>
                  <pic:blipFill>
                    <a:blip r:embed="rId23"/>
                    <a:stretch>
                      <a:fillRect/>
                    </a:stretch>
                  </pic:blipFill>
                  <pic:spPr>
                    <a:xfrm>
                      <a:off x="0" y="0"/>
                      <a:ext cx="5943600" cy="3740785"/>
                    </a:xfrm>
                    <a:prstGeom prst="rect">
                      <a:avLst/>
                    </a:prstGeom>
                  </pic:spPr>
                </pic:pic>
              </a:graphicData>
            </a:graphic>
          </wp:inline>
        </w:drawing>
      </w:r>
    </w:p>
    <w:p w14:paraId="1B204F25" w14:textId="1F9F329E" w:rsidR="008955C2" w:rsidRPr="00B6730E" w:rsidRDefault="001B787D" w:rsidP="001B787D">
      <w:pPr>
        <w:pStyle w:val="Caption"/>
      </w:pPr>
      <w:bookmarkStart w:id="84" w:name="_Ref150981824"/>
      <w:bookmarkStart w:id="85" w:name="_Toc152692041"/>
      <w:r>
        <w:t xml:space="preserve">Figure </w:t>
      </w:r>
      <w:r w:rsidR="005858A3">
        <w:fldChar w:fldCharType="begin"/>
      </w:r>
      <w:r w:rsidR="005858A3">
        <w:instrText xml:space="preserve"> SEQ Figure \* ARABIC </w:instrText>
      </w:r>
      <w:r w:rsidR="005858A3">
        <w:fldChar w:fldCharType="separate"/>
      </w:r>
      <w:r w:rsidR="00E337FD">
        <w:rPr>
          <w:noProof/>
        </w:rPr>
        <w:t>12</w:t>
      </w:r>
      <w:r w:rsidR="005858A3">
        <w:rPr>
          <w:noProof/>
        </w:rPr>
        <w:fldChar w:fldCharType="end"/>
      </w:r>
      <w:bookmarkEnd w:id="84"/>
      <w:r w:rsidRPr="00B6730E">
        <w:t>. A panel of linear regression plots comparing the IMet-XQ2 Temperature vs. WXT536 (left) and CS125 (right) temperature sensors with secondary plots of residuals. Statistics of the regression are displayed in the bottom left panel of each panel within the respective regression plot. From top to bottom: best-fit regression line (</w:t>
      </w:r>
      <m:oMath>
        <m:acc>
          <m:accPr>
            <m:ctrlPr>
              <w:rPr>
                <w:rFonts w:ascii="Cambria Math" w:hAnsi="Cambria Math"/>
              </w:rPr>
            </m:ctrlPr>
          </m:accPr>
          <m:e>
            <m:r>
              <w:rPr>
                <w:rFonts w:ascii="Cambria Math" w:hAnsi="Cambria Math"/>
              </w:rPr>
              <m:t>y</m:t>
            </m:r>
          </m:e>
        </m:acc>
      </m:oMath>
      <w:r w:rsidRPr="00B6730E">
        <w:t>), coefficient of determination (</w:t>
      </w:r>
      <m:oMath>
        <m:sSup>
          <m:sSupPr>
            <m:ctrlPr>
              <w:rPr>
                <w:rFonts w:ascii="Cambria Math" w:hAnsi="Cambria Math"/>
              </w:rPr>
            </m:ctrlPr>
          </m:sSupPr>
          <m:e>
            <m:r>
              <w:rPr>
                <w:rFonts w:ascii="Cambria Math" w:hAnsi="Cambria Math"/>
              </w:rPr>
              <m:t>r</m:t>
            </m:r>
          </m:e>
          <m:sup>
            <m:r>
              <w:rPr>
                <w:rFonts w:ascii="Cambria Math" w:hAnsi="Cambria Math"/>
              </w:rPr>
              <m:t>2</m:t>
            </m:r>
          </m:sup>
        </m:sSup>
      </m:oMath>
      <w:r w:rsidRPr="00B6730E">
        <w:t>), and standard error (</w:t>
      </w:r>
      <m:oMath>
        <m:r>
          <w:rPr>
            <w:rFonts w:ascii="Cambria Math" w:hAnsi="Cambria Math"/>
          </w:rPr>
          <m:t>SE</m:t>
        </m:r>
      </m:oMath>
      <w:r w:rsidRPr="00B6730E">
        <w:t>). Statistics assume a normal distribution of residuals.</w:t>
      </w:r>
      <w:bookmarkEnd w:id="85"/>
      <w:r w:rsidR="00156C37" w:rsidRPr="00B6730E">
        <w:br w:type="page"/>
      </w:r>
    </w:p>
    <w:p w14:paraId="46B18629" w14:textId="77777777" w:rsidR="00126883" w:rsidRDefault="00126883" w:rsidP="00126883">
      <w:pPr>
        <w:pStyle w:val="Figure"/>
        <w:keepNext/>
        <w:jc w:val="left"/>
      </w:pPr>
      <w:bookmarkStart w:id="86" w:name="_Toc150698152"/>
      <w:bookmarkStart w:id="87" w:name="_Toc150818413"/>
      <w:bookmarkStart w:id="88" w:name="_Ref150451381"/>
      <w:r>
        <w:lastRenderedPageBreak/>
        <w:drawing>
          <wp:inline distT="0" distB="0" distL="0" distR="0" wp14:anchorId="610DD4E8" wp14:editId="225AB8A9">
            <wp:extent cx="5943600" cy="3685540"/>
            <wp:effectExtent l="0" t="0" r="0" b="0"/>
            <wp:docPr id="1827189471" name="Picture 1" descr="A graph of a graph of a number of different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89471" name="Picture 1" descr="A graph of a graph of a number of different numbers&#10;&#10;Description automatically generated with medium confidence"/>
                    <pic:cNvPicPr/>
                  </pic:nvPicPr>
                  <pic:blipFill>
                    <a:blip r:embed="rId24"/>
                    <a:stretch>
                      <a:fillRect/>
                    </a:stretch>
                  </pic:blipFill>
                  <pic:spPr>
                    <a:xfrm>
                      <a:off x="0" y="0"/>
                      <a:ext cx="5943600" cy="3685540"/>
                    </a:xfrm>
                    <a:prstGeom prst="rect">
                      <a:avLst/>
                    </a:prstGeom>
                  </pic:spPr>
                </pic:pic>
              </a:graphicData>
            </a:graphic>
          </wp:inline>
        </w:drawing>
      </w:r>
    </w:p>
    <w:p w14:paraId="6103DA40" w14:textId="415D2921" w:rsidR="00D11EAB" w:rsidRDefault="00126883" w:rsidP="00D11EAB">
      <w:pPr>
        <w:pStyle w:val="Caption"/>
        <w:jc w:val="left"/>
      </w:pPr>
      <w:bookmarkStart w:id="89" w:name="_Ref150981865"/>
      <w:bookmarkStart w:id="90" w:name="_Toc152692042"/>
      <w:r>
        <w:t xml:space="preserve">Figure </w:t>
      </w:r>
      <w:r w:rsidR="005858A3">
        <w:fldChar w:fldCharType="begin"/>
      </w:r>
      <w:r w:rsidR="005858A3">
        <w:instrText xml:space="preserve"> SEQ Figure \* ARABIC </w:instrText>
      </w:r>
      <w:r w:rsidR="005858A3">
        <w:fldChar w:fldCharType="separate"/>
      </w:r>
      <w:r w:rsidR="00E337FD">
        <w:rPr>
          <w:noProof/>
        </w:rPr>
        <w:t>13</w:t>
      </w:r>
      <w:r w:rsidR="005858A3">
        <w:rPr>
          <w:noProof/>
        </w:rPr>
        <w:fldChar w:fldCharType="end"/>
      </w:r>
      <w:bookmarkEnd w:id="89"/>
      <w:r w:rsidRPr="00156C37">
        <w:t xml:space="preserve">. A </w:t>
      </w:r>
      <w:r w:rsidR="003A7E1B">
        <w:t xml:space="preserve">panel of </w:t>
      </w:r>
      <w:r w:rsidRPr="00156C37">
        <w:t>linear regression plot</w:t>
      </w:r>
      <w:r w:rsidR="003A7E1B">
        <w:t>s</w:t>
      </w:r>
      <w:r w:rsidRPr="00156C37">
        <w:t xml:space="preserve"> using the same format as</w:t>
      </w:r>
      <w:r w:rsidR="00C47152">
        <w:t xml:space="preserve"> </w:t>
      </w:r>
      <w:r w:rsidR="00C47152">
        <w:fldChar w:fldCharType="begin"/>
      </w:r>
      <w:r w:rsidR="00C47152">
        <w:instrText xml:space="preserve"> REF _Ref150981824 \h </w:instrText>
      </w:r>
      <w:r w:rsidR="00C47152">
        <w:fldChar w:fldCharType="separate"/>
      </w:r>
      <w:r w:rsidR="0010654D">
        <w:t xml:space="preserve">Figure </w:t>
      </w:r>
      <w:r w:rsidR="0010654D">
        <w:rPr>
          <w:noProof/>
        </w:rPr>
        <w:t>12</w:t>
      </w:r>
      <w:r w:rsidR="00C47152">
        <w:fldChar w:fldCharType="end"/>
      </w:r>
      <w:r w:rsidRPr="00156C37">
        <w:t xml:space="preserve">, but with a comparison of IMet-XQ2 relative humidity vs. WXT536 </w:t>
      </w:r>
      <w:r>
        <w:t xml:space="preserve">(left) and CS125 (right) </w:t>
      </w:r>
      <w:r w:rsidRPr="00156C37">
        <w:t>relative humidity.</w:t>
      </w:r>
      <w:bookmarkEnd w:id="86"/>
      <w:bookmarkEnd w:id="87"/>
      <w:bookmarkEnd w:id="88"/>
      <w:bookmarkEnd w:id="90"/>
      <w:r w:rsidR="0057198B">
        <w:br w:type="page"/>
      </w:r>
    </w:p>
    <w:p w14:paraId="2336E675" w14:textId="77777777" w:rsidR="00D11EAB" w:rsidRDefault="00D11EAB" w:rsidP="00D11EAB">
      <w:pPr>
        <w:pStyle w:val="Figure"/>
        <w:keepNext/>
      </w:pPr>
      <w:r>
        <w:lastRenderedPageBreak/>
        <w:drawing>
          <wp:inline distT="0" distB="0" distL="0" distR="0" wp14:anchorId="644615B4" wp14:editId="115A0D61">
            <wp:extent cx="4411980" cy="4811697"/>
            <wp:effectExtent l="0" t="0" r="7620" b="8255"/>
            <wp:docPr id="1148623411" name="Picture 1" descr="A graph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23411" name="Picture 1" descr="A graph of a line graph&#10;&#10;Description automatically generated with medium confidence"/>
                    <pic:cNvPicPr/>
                  </pic:nvPicPr>
                  <pic:blipFill>
                    <a:blip r:embed="rId25"/>
                    <a:stretch>
                      <a:fillRect/>
                    </a:stretch>
                  </pic:blipFill>
                  <pic:spPr>
                    <a:xfrm>
                      <a:off x="0" y="0"/>
                      <a:ext cx="4428723" cy="4829957"/>
                    </a:xfrm>
                    <a:prstGeom prst="rect">
                      <a:avLst/>
                    </a:prstGeom>
                  </pic:spPr>
                </pic:pic>
              </a:graphicData>
            </a:graphic>
          </wp:inline>
        </w:drawing>
      </w:r>
    </w:p>
    <w:p w14:paraId="66338813" w14:textId="75C76CDD" w:rsidR="00F45FE2" w:rsidRDefault="00D11EAB" w:rsidP="00C82DA5">
      <w:pPr>
        <w:pStyle w:val="FigureCaption"/>
      </w:pPr>
      <w:bookmarkStart w:id="91" w:name="_Ref150981915"/>
      <w:bookmarkStart w:id="92" w:name="_Toc152692043"/>
      <w:r>
        <w:t xml:space="preserve">Figure </w:t>
      </w:r>
      <w:r w:rsidR="005858A3">
        <w:fldChar w:fldCharType="begin"/>
      </w:r>
      <w:r w:rsidR="005858A3">
        <w:instrText xml:space="preserve"> SEQ Figure \* ARABIC </w:instrText>
      </w:r>
      <w:r w:rsidR="005858A3">
        <w:fldChar w:fldCharType="separate"/>
      </w:r>
      <w:r w:rsidR="00E337FD">
        <w:rPr>
          <w:noProof/>
        </w:rPr>
        <w:t>14</w:t>
      </w:r>
      <w:r w:rsidR="005858A3">
        <w:rPr>
          <w:noProof/>
        </w:rPr>
        <w:fldChar w:fldCharType="end"/>
      </w:r>
      <w:bookmarkEnd w:id="91"/>
      <w:r>
        <w:t>: A linear regression plot comparing the MiniOFS and CS125 visibility sensors when recording measurements below 4000 m.</w:t>
      </w:r>
      <w:bookmarkEnd w:id="92"/>
      <w:r w:rsidR="000712BF">
        <w:br w:type="page"/>
      </w:r>
    </w:p>
    <w:p w14:paraId="545A3340" w14:textId="77777777" w:rsidR="00C82DA5" w:rsidRDefault="00C82DA5" w:rsidP="00C82DA5">
      <w:pPr>
        <w:pStyle w:val="Figure"/>
        <w:keepNext/>
      </w:pPr>
      <w:r>
        <w:lastRenderedPageBreak/>
        <w:drawing>
          <wp:inline distT="0" distB="0" distL="0" distR="0" wp14:anchorId="2E3DCEC5" wp14:editId="61E7E465">
            <wp:extent cx="4530436" cy="4899744"/>
            <wp:effectExtent l="0" t="0" r="0" b="0"/>
            <wp:docPr id="2110910869" name="Picture 1" descr="A graph of a graph of a number of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10869" name="Picture 1" descr="A graph of a graph of a number of points&#10;&#10;Description automatically generated with medium confidence"/>
                    <pic:cNvPicPr/>
                  </pic:nvPicPr>
                  <pic:blipFill>
                    <a:blip r:embed="rId26"/>
                    <a:stretch>
                      <a:fillRect/>
                    </a:stretch>
                  </pic:blipFill>
                  <pic:spPr>
                    <a:xfrm>
                      <a:off x="0" y="0"/>
                      <a:ext cx="4532741" cy="4902237"/>
                    </a:xfrm>
                    <a:prstGeom prst="rect">
                      <a:avLst/>
                    </a:prstGeom>
                  </pic:spPr>
                </pic:pic>
              </a:graphicData>
            </a:graphic>
          </wp:inline>
        </w:drawing>
      </w:r>
    </w:p>
    <w:p w14:paraId="1158B5C9" w14:textId="653C35C8" w:rsidR="00C82DA5" w:rsidRDefault="00C82DA5" w:rsidP="00C82DA5">
      <w:pPr>
        <w:pStyle w:val="FigureCaption"/>
      </w:pPr>
      <w:bookmarkStart w:id="93" w:name="_Ref152692512"/>
      <w:bookmarkStart w:id="94" w:name="_Toc152692044"/>
      <w:r>
        <w:t xml:space="preserve">Figure </w:t>
      </w:r>
      <w:r w:rsidR="00F208F0">
        <w:fldChar w:fldCharType="begin"/>
      </w:r>
      <w:r w:rsidR="00F208F0">
        <w:instrText xml:space="preserve"> SEQ Figure \* ARABIC </w:instrText>
      </w:r>
      <w:r w:rsidR="00F208F0">
        <w:fldChar w:fldCharType="separate"/>
      </w:r>
      <w:r w:rsidR="00E337FD">
        <w:rPr>
          <w:noProof/>
        </w:rPr>
        <w:t>15</w:t>
      </w:r>
      <w:r w:rsidR="00F208F0">
        <w:rPr>
          <w:noProof/>
        </w:rPr>
        <w:fldChar w:fldCharType="end"/>
      </w:r>
      <w:bookmarkEnd w:id="93"/>
      <w:r>
        <w:t xml:space="preserve">. A linear regression plot using the same format as </w:t>
      </w:r>
      <w:r>
        <w:fldChar w:fldCharType="begin"/>
      </w:r>
      <w:r>
        <w:instrText xml:space="preserve"> REF _Ref150981915 \h  \* MERGEFORMAT </w:instrText>
      </w:r>
      <w:r>
        <w:fldChar w:fldCharType="separate"/>
      </w:r>
      <w:r w:rsidR="0010654D">
        <w:t xml:space="preserve">Figure </w:t>
      </w:r>
      <w:r w:rsidR="0010654D">
        <w:rPr>
          <w:noProof/>
        </w:rPr>
        <w:t>14</w:t>
      </w:r>
      <w:r>
        <w:fldChar w:fldCharType="end"/>
      </w:r>
      <w:r>
        <w:t>, but during a fog event on March 22</w:t>
      </w:r>
      <w:r w:rsidRPr="003A7E1B">
        <w:rPr>
          <w:vertAlign w:val="superscript"/>
        </w:rPr>
        <w:t>nd</w:t>
      </w:r>
      <w:r>
        <w:t xml:space="preserve">, </w:t>
      </w:r>
      <w:proofErr w:type="gramStart"/>
      <w:r>
        <w:t>2022</w:t>
      </w:r>
      <w:proofErr w:type="gramEnd"/>
      <w:r>
        <w:t xml:space="preserve"> when the visibility sensors are recording measurements below 1000 meters.</w:t>
      </w:r>
      <w:bookmarkEnd w:id="94"/>
      <w:r>
        <w:br w:type="page"/>
      </w:r>
    </w:p>
    <w:p w14:paraId="1DBB24F1" w14:textId="3368454B" w:rsidR="008955C2" w:rsidRPr="00A9626D" w:rsidRDefault="008C19CF" w:rsidP="008739B9">
      <w:pPr>
        <w:pStyle w:val="Heading1"/>
      </w:pPr>
      <w:bookmarkStart w:id="95" w:name="_Toc152692021"/>
      <w:r>
        <w:lastRenderedPageBreak/>
        <w:t xml:space="preserve">CHAPTER V: </w:t>
      </w:r>
      <w:r w:rsidR="008955C2" w:rsidRPr="00A9626D">
        <w:t>UA</w:t>
      </w:r>
      <w:r>
        <w:t>S MISSIONS</w:t>
      </w:r>
      <w:bookmarkEnd w:id="95"/>
    </w:p>
    <w:p w14:paraId="2F8503F9" w14:textId="47721493" w:rsidR="008955C2" w:rsidRDefault="008955C2" w:rsidP="00156C37">
      <w:pPr>
        <w:pStyle w:val="TextFormat"/>
      </w:pPr>
      <w:r>
        <w:t xml:space="preserve">The usage of the UAS platform in low visibility conditions highlighted the process and prerequisites necessary for efficient and successful implementations. </w:t>
      </w:r>
      <w:r w:rsidR="00A20682">
        <w:t xml:space="preserve">Acquisition of </w:t>
      </w:r>
      <w:r>
        <w:t xml:space="preserve">FAA </w:t>
      </w:r>
      <w:r w:rsidR="00A20682">
        <w:t>wavers allowing</w:t>
      </w:r>
      <w:r>
        <w:t xml:space="preserve"> low visibility UAS missions within fogs took over two years of coordinated efforts from </w:t>
      </w:r>
      <w:r w:rsidR="000D3C2D">
        <w:t xml:space="preserve">Weather </w:t>
      </w:r>
      <w:proofErr w:type="spellStart"/>
      <w:r w:rsidR="000D3C2D">
        <w:t>Modifiction</w:t>
      </w:r>
      <w:proofErr w:type="spellEnd"/>
      <w:r w:rsidR="000D3C2D">
        <w:t xml:space="preserve"> International</w:t>
      </w:r>
      <w:r>
        <w:t xml:space="preserve"> and the University of North Dakota beyond the initial project proposal. UAS airspace approval at </w:t>
      </w:r>
      <w:r w:rsidR="000D3C2D">
        <w:t>Ice Crystal Engineering</w:t>
      </w:r>
      <w:r>
        <w:t xml:space="preserve"> headquarters followed shortly thereafter and proved an essential base for UAS operations. Internet and power accessibility, detachment from major population centers, and a clear unobstructed field of vision allowed for undisturbed line-of-sight visuals during all high and low visibility missions. The licensed UAV pilot safely operated the drone in coordination with the on-station flight scientists with no major accidents or mechanical failures. </w:t>
      </w:r>
    </w:p>
    <w:p w14:paraId="2D145F37" w14:textId="7E8C3114" w:rsidR="008955C2" w:rsidRDefault="008955C2" w:rsidP="000D3C2D">
      <w:pPr>
        <w:pStyle w:val="TextFormat"/>
      </w:pPr>
      <w:r>
        <w:t>Forecasting occurred over several days prior to a potential fog event. Once a period was designated favorable for development, communication between the UAV pilot and flight scientists designated an ideal mission start time. Due to low-visibility FAA-regulations on UAS operation, start times usually occurred shortly after sunrise. Conditions were monitored throughout the morning of potential operations via satellite and regional ASOS observations. If conditions were deemed acceptable or low visibilities were reported regionally, the UAV mission commenced as planned. Procedures for proper functionality of the UAV and attached instrumentation were performed before every flight mission.</w:t>
      </w:r>
      <w:r w:rsidR="000D3C2D">
        <w:t xml:space="preserve"> </w:t>
      </w:r>
      <w:r>
        <w:t>Over the course of March 2023, eight successful UAV flights occurred over five days. Two of the days occurred in clear-air conditions and three in low-visibility/foggy conditions. In total, fourteen vertical profiles</w:t>
      </w:r>
      <w:r w:rsidR="007E13B7">
        <w:t xml:space="preserve"> (</w:t>
      </w:r>
      <w:r w:rsidR="007E13B7">
        <w:fldChar w:fldCharType="begin"/>
      </w:r>
      <w:r w:rsidR="007E13B7">
        <w:instrText xml:space="preserve"> REF _Ref150983925 \h </w:instrText>
      </w:r>
      <w:r w:rsidR="007E13B7">
        <w:fldChar w:fldCharType="separate"/>
      </w:r>
      <w:r w:rsidR="0010654D">
        <w:t xml:space="preserve">Table </w:t>
      </w:r>
      <w:r w:rsidR="0010654D">
        <w:rPr>
          <w:noProof/>
        </w:rPr>
        <w:t>5</w:t>
      </w:r>
      <w:r w:rsidR="007E13B7">
        <w:fldChar w:fldCharType="end"/>
      </w:r>
      <w:r w:rsidR="007E13B7">
        <w:t>),</w:t>
      </w:r>
      <w:r>
        <w:t xml:space="preserve"> fifteen hovering maneuvers, two racetrack patterns, and one box pattern were successfully executed.</w:t>
      </w:r>
    </w:p>
    <w:p w14:paraId="650C61B6" w14:textId="77777777" w:rsidR="0010654D" w:rsidRDefault="0010654D" w:rsidP="007E13B7">
      <w:pPr>
        <w:pStyle w:val="TextFormat"/>
      </w:pPr>
    </w:p>
    <w:p w14:paraId="401F6FBD" w14:textId="03F44A11" w:rsidR="003A7E1B" w:rsidRDefault="003A7E1B" w:rsidP="003A7E1B">
      <w:pPr>
        <w:pStyle w:val="TableCaption"/>
      </w:pPr>
      <w:bookmarkStart w:id="96" w:name="_Ref150983925"/>
      <w:bookmarkStart w:id="97" w:name="_Toc152692073"/>
      <w:r>
        <w:lastRenderedPageBreak/>
        <w:t xml:space="preserve">Table </w:t>
      </w:r>
      <w:r w:rsidR="005858A3">
        <w:fldChar w:fldCharType="begin"/>
      </w:r>
      <w:r w:rsidR="005858A3">
        <w:instrText xml:space="preserve"> SEQ Table \* ARABIC </w:instrText>
      </w:r>
      <w:r w:rsidR="005858A3">
        <w:fldChar w:fldCharType="separate"/>
      </w:r>
      <w:r w:rsidR="0010654D">
        <w:rPr>
          <w:noProof/>
        </w:rPr>
        <w:t>5</w:t>
      </w:r>
      <w:r w:rsidR="005858A3">
        <w:rPr>
          <w:noProof/>
        </w:rPr>
        <w:fldChar w:fldCharType="end"/>
      </w:r>
      <w:bookmarkStart w:id="98" w:name="_Toc150784682"/>
      <w:bookmarkStart w:id="99" w:name="_Toc150826343"/>
      <w:bookmarkEnd w:id="96"/>
      <w:r w:rsidRPr="00A9626D">
        <w:t xml:space="preserve">: </w:t>
      </w:r>
      <w:r>
        <w:t>V</w:t>
      </w:r>
      <w:r w:rsidRPr="00A9626D">
        <w:t xml:space="preserve">ertical profiles </w:t>
      </w:r>
      <w:r>
        <w:t xml:space="preserve">performed </w:t>
      </w:r>
      <w:r w:rsidRPr="00A9626D">
        <w:t xml:space="preserve">during </w:t>
      </w:r>
      <w:r>
        <w:t xml:space="preserve">the </w:t>
      </w:r>
      <w:r w:rsidRPr="00A9626D">
        <w:t>March 2023</w:t>
      </w:r>
      <w:r>
        <w:t xml:space="preserve"> UAV flights. Times reported are in central standard time.</w:t>
      </w:r>
      <w:bookmarkEnd w:id="98"/>
      <w:bookmarkEnd w:id="99"/>
      <w:bookmarkEnd w:id="97"/>
    </w:p>
    <w:tbl>
      <w:tblPr>
        <w:tblpPr w:leftFromText="2880" w:rightFromText="2880" w:bottomFromText="288" w:vertAnchor="text" w:horzAnchor="margin" w:tblpY="98"/>
        <w:tblW w:w="5000" w:type="pct"/>
        <w:tblLayout w:type="fixed"/>
        <w:tblLook w:val="04A0" w:firstRow="1" w:lastRow="0" w:firstColumn="1" w:lastColumn="0" w:noHBand="0" w:noVBand="1"/>
      </w:tblPr>
      <w:tblGrid>
        <w:gridCol w:w="1288"/>
        <w:gridCol w:w="1361"/>
        <w:gridCol w:w="1063"/>
        <w:gridCol w:w="1063"/>
        <w:gridCol w:w="1063"/>
        <w:gridCol w:w="1063"/>
        <w:gridCol w:w="1063"/>
        <w:gridCol w:w="1386"/>
      </w:tblGrid>
      <w:tr w:rsidR="0010654D" w:rsidRPr="00A9626D" w14:paraId="669AE5D4" w14:textId="77777777" w:rsidTr="0010654D">
        <w:trPr>
          <w:trHeight w:val="710"/>
        </w:trPr>
        <w:tc>
          <w:tcPr>
            <w:tcW w:w="1343"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7BE46250"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bookmarkStart w:id="100" w:name="_Ref150108058"/>
            <w:bookmarkStart w:id="101" w:name="_Toc152692022"/>
            <w:r w:rsidRPr="008955C2">
              <w:rPr>
                <w:rFonts w:ascii="Times New Roman" w:eastAsia="Times New Roman" w:hAnsi="Times New Roman" w:cs="Times New Roman"/>
                <w:b/>
                <w:bCs/>
                <w:color w:val="000000"/>
                <w:sz w:val="24"/>
                <w:szCs w:val="24"/>
              </w:rPr>
              <w:t>Date</w:t>
            </w:r>
          </w:p>
        </w:tc>
        <w:tc>
          <w:tcPr>
            <w:tcW w:w="1419"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039C93AC"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Visibility Conditions</w:t>
            </w:r>
          </w:p>
        </w:tc>
        <w:tc>
          <w:tcPr>
            <w:tcW w:w="1106"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28D9E3A9"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Vertical Profiles</w:t>
            </w:r>
          </w:p>
        </w:tc>
        <w:tc>
          <w:tcPr>
            <w:tcW w:w="1106"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49FF8A62"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Ascent Start</w:t>
            </w:r>
          </w:p>
        </w:tc>
        <w:tc>
          <w:tcPr>
            <w:tcW w:w="1106"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6B6CB015"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Ascent End</w:t>
            </w:r>
          </w:p>
        </w:tc>
        <w:tc>
          <w:tcPr>
            <w:tcW w:w="1106"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43AC17B4"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Descent Start</w:t>
            </w:r>
          </w:p>
        </w:tc>
        <w:tc>
          <w:tcPr>
            <w:tcW w:w="1106"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3C163AD1"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Descent End</w:t>
            </w:r>
          </w:p>
        </w:tc>
        <w:tc>
          <w:tcPr>
            <w:tcW w:w="1446"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3BDB4961"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Instrument Status</w:t>
            </w:r>
          </w:p>
        </w:tc>
      </w:tr>
      <w:tr w:rsidR="0010654D" w:rsidRPr="00A9626D" w14:paraId="77EDFA11" w14:textId="77777777" w:rsidTr="0010654D">
        <w:trPr>
          <w:trHeight w:val="288"/>
        </w:trPr>
        <w:tc>
          <w:tcPr>
            <w:tcW w:w="134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F6FDCD1"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3/7/2023</w:t>
            </w:r>
          </w:p>
        </w:tc>
        <w:tc>
          <w:tcPr>
            <w:tcW w:w="1419" w:type="dxa"/>
            <w:tcBorders>
              <w:top w:val="nil"/>
              <w:left w:val="nil"/>
              <w:bottom w:val="single" w:sz="4" w:space="0" w:color="auto"/>
              <w:right w:val="single" w:sz="4" w:space="0" w:color="auto"/>
            </w:tcBorders>
            <w:shd w:val="clear" w:color="auto" w:fill="auto"/>
            <w:noWrap/>
            <w:vAlign w:val="center"/>
            <w:hideMark/>
          </w:tcPr>
          <w:p w14:paraId="61771FDB"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No Fog</w:t>
            </w:r>
          </w:p>
        </w:tc>
        <w:tc>
          <w:tcPr>
            <w:tcW w:w="1106" w:type="dxa"/>
            <w:tcBorders>
              <w:top w:val="nil"/>
              <w:left w:val="nil"/>
              <w:bottom w:val="single" w:sz="4" w:space="0" w:color="auto"/>
              <w:right w:val="single" w:sz="4" w:space="0" w:color="auto"/>
            </w:tcBorders>
            <w:shd w:val="clear" w:color="auto" w:fill="auto"/>
            <w:noWrap/>
            <w:vAlign w:val="center"/>
            <w:hideMark/>
          </w:tcPr>
          <w:p w14:paraId="320DFDE9"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1</w:t>
            </w:r>
          </w:p>
        </w:tc>
        <w:tc>
          <w:tcPr>
            <w:tcW w:w="1106" w:type="dxa"/>
            <w:tcBorders>
              <w:top w:val="nil"/>
              <w:left w:val="nil"/>
              <w:bottom w:val="single" w:sz="4" w:space="0" w:color="auto"/>
              <w:right w:val="single" w:sz="4" w:space="0" w:color="auto"/>
            </w:tcBorders>
            <w:shd w:val="clear" w:color="auto" w:fill="auto"/>
            <w:noWrap/>
            <w:vAlign w:val="center"/>
            <w:hideMark/>
          </w:tcPr>
          <w:p w14:paraId="5DD295F4"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17:59:48</w:t>
            </w:r>
          </w:p>
        </w:tc>
        <w:tc>
          <w:tcPr>
            <w:tcW w:w="1106" w:type="dxa"/>
            <w:tcBorders>
              <w:top w:val="nil"/>
              <w:left w:val="nil"/>
              <w:bottom w:val="single" w:sz="4" w:space="0" w:color="auto"/>
              <w:right w:val="single" w:sz="4" w:space="0" w:color="auto"/>
            </w:tcBorders>
            <w:shd w:val="clear" w:color="auto" w:fill="auto"/>
            <w:noWrap/>
            <w:vAlign w:val="center"/>
            <w:hideMark/>
          </w:tcPr>
          <w:p w14:paraId="72CFA853"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18:00:58</w:t>
            </w:r>
          </w:p>
        </w:tc>
        <w:tc>
          <w:tcPr>
            <w:tcW w:w="1106" w:type="dxa"/>
            <w:tcBorders>
              <w:top w:val="nil"/>
              <w:left w:val="nil"/>
              <w:bottom w:val="single" w:sz="4" w:space="0" w:color="auto"/>
              <w:right w:val="single" w:sz="4" w:space="0" w:color="auto"/>
            </w:tcBorders>
            <w:shd w:val="clear" w:color="auto" w:fill="auto"/>
            <w:noWrap/>
            <w:vAlign w:val="center"/>
            <w:hideMark/>
          </w:tcPr>
          <w:p w14:paraId="23796D91"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18:01:12</w:t>
            </w:r>
          </w:p>
        </w:tc>
        <w:tc>
          <w:tcPr>
            <w:tcW w:w="1106" w:type="dxa"/>
            <w:tcBorders>
              <w:top w:val="nil"/>
              <w:left w:val="nil"/>
              <w:bottom w:val="single" w:sz="4" w:space="0" w:color="auto"/>
              <w:right w:val="single" w:sz="4" w:space="0" w:color="auto"/>
            </w:tcBorders>
            <w:shd w:val="clear" w:color="auto" w:fill="auto"/>
            <w:noWrap/>
            <w:vAlign w:val="center"/>
            <w:hideMark/>
          </w:tcPr>
          <w:p w14:paraId="046D1F6F"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18:02:54</w:t>
            </w:r>
          </w:p>
        </w:tc>
        <w:tc>
          <w:tcPr>
            <w:tcW w:w="1446" w:type="dxa"/>
            <w:tcBorders>
              <w:top w:val="nil"/>
              <w:left w:val="nil"/>
              <w:bottom w:val="single" w:sz="4" w:space="0" w:color="auto"/>
              <w:right w:val="single" w:sz="4" w:space="0" w:color="auto"/>
            </w:tcBorders>
            <w:shd w:val="clear" w:color="auto" w:fill="auto"/>
            <w:noWrap/>
            <w:vAlign w:val="center"/>
            <w:hideMark/>
          </w:tcPr>
          <w:p w14:paraId="695B8AF0"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Both</w:t>
            </w:r>
          </w:p>
        </w:tc>
      </w:tr>
      <w:tr w:rsidR="0010654D" w:rsidRPr="00A9626D" w14:paraId="7E32AAAC" w14:textId="77777777" w:rsidTr="0010654D">
        <w:trPr>
          <w:trHeight w:val="288"/>
        </w:trPr>
        <w:tc>
          <w:tcPr>
            <w:tcW w:w="1343"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7F9F590E"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3/13/2023</w:t>
            </w: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1F286A18"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No Fog</w:t>
            </w:r>
          </w:p>
        </w:tc>
        <w:tc>
          <w:tcPr>
            <w:tcW w:w="110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7AE5DF"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2</w:t>
            </w:r>
          </w:p>
        </w:tc>
        <w:tc>
          <w:tcPr>
            <w:tcW w:w="1106" w:type="dxa"/>
            <w:tcBorders>
              <w:top w:val="nil"/>
              <w:left w:val="nil"/>
              <w:bottom w:val="single" w:sz="4" w:space="0" w:color="auto"/>
              <w:right w:val="single" w:sz="4" w:space="0" w:color="auto"/>
            </w:tcBorders>
            <w:shd w:val="clear" w:color="auto" w:fill="auto"/>
            <w:noWrap/>
            <w:vAlign w:val="center"/>
            <w:hideMark/>
          </w:tcPr>
          <w:p w14:paraId="41D17CF8"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15:14:26</w:t>
            </w:r>
          </w:p>
        </w:tc>
        <w:tc>
          <w:tcPr>
            <w:tcW w:w="1106" w:type="dxa"/>
            <w:tcBorders>
              <w:top w:val="nil"/>
              <w:left w:val="nil"/>
              <w:bottom w:val="single" w:sz="4" w:space="0" w:color="auto"/>
              <w:right w:val="single" w:sz="4" w:space="0" w:color="auto"/>
            </w:tcBorders>
            <w:shd w:val="clear" w:color="auto" w:fill="auto"/>
            <w:noWrap/>
            <w:vAlign w:val="center"/>
            <w:hideMark/>
          </w:tcPr>
          <w:p w14:paraId="1CB411BC"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15:18:03</w:t>
            </w:r>
          </w:p>
        </w:tc>
        <w:tc>
          <w:tcPr>
            <w:tcW w:w="1106" w:type="dxa"/>
            <w:tcBorders>
              <w:top w:val="nil"/>
              <w:left w:val="nil"/>
              <w:bottom w:val="single" w:sz="4" w:space="0" w:color="auto"/>
              <w:right w:val="single" w:sz="4" w:space="0" w:color="auto"/>
            </w:tcBorders>
            <w:shd w:val="clear" w:color="auto" w:fill="auto"/>
            <w:noWrap/>
            <w:vAlign w:val="center"/>
            <w:hideMark/>
          </w:tcPr>
          <w:p w14:paraId="43191264"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15:18:21</w:t>
            </w:r>
          </w:p>
        </w:tc>
        <w:tc>
          <w:tcPr>
            <w:tcW w:w="1106" w:type="dxa"/>
            <w:tcBorders>
              <w:top w:val="nil"/>
              <w:left w:val="nil"/>
              <w:bottom w:val="single" w:sz="4" w:space="0" w:color="auto"/>
              <w:right w:val="single" w:sz="4" w:space="0" w:color="auto"/>
            </w:tcBorders>
            <w:shd w:val="clear" w:color="auto" w:fill="auto"/>
            <w:noWrap/>
            <w:vAlign w:val="center"/>
            <w:hideMark/>
          </w:tcPr>
          <w:p w14:paraId="33E36FE7"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15:22:42</w:t>
            </w:r>
          </w:p>
        </w:tc>
        <w:tc>
          <w:tcPr>
            <w:tcW w:w="1446" w:type="dxa"/>
            <w:vMerge w:val="restart"/>
            <w:tcBorders>
              <w:top w:val="nil"/>
              <w:left w:val="single" w:sz="4" w:space="0" w:color="auto"/>
              <w:bottom w:val="single" w:sz="4" w:space="0" w:color="auto"/>
              <w:right w:val="single" w:sz="4" w:space="0" w:color="auto"/>
            </w:tcBorders>
            <w:shd w:val="clear" w:color="auto" w:fill="auto"/>
            <w:vAlign w:val="center"/>
            <w:hideMark/>
          </w:tcPr>
          <w:p w14:paraId="3748C823"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Both</w:t>
            </w:r>
          </w:p>
        </w:tc>
      </w:tr>
      <w:tr w:rsidR="0010654D" w:rsidRPr="00A9626D" w14:paraId="68538931" w14:textId="77777777" w:rsidTr="0010654D">
        <w:trPr>
          <w:trHeight w:val="288"/>
        </w:trPr>
        <w:tc>
          <w:tcPr>
            <w:tcW w:w="13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8CA7F05" w14:textId="77777777" w:rsidR="0010654D" w:rsidRPr="008955C2" w:rsidRDefault="0010654D" w:rsidP="0010654D">
            <w:pPr>
              <w:spacing w:after="0"/>
              <w:rPr>
                <w:rFonts w:ascii="Times New Roman" w:eastAsia="Times New Roman" w:hAnsi="Times New Roman" w:cs="Times New Roman"/>
                <w:b/>
                <w:bCs/>
                <w:color w:val="000000"/>
                <w:sz w:val="24"/>
                <w:szCs w:val="24"/>
              </w:rPr>
            </w:pPr>
          </w:p>
        </w:tc>
        <w:tc>
          <w:tcPr>
            <w:tcW w:w="1419" w:type="dxa"/>
            <w:vMerge/>
            <w:tcBorders>
              <w:top w:val="nil"/>
              <w:left w:val="single" w:sz="4" w:space="0" w:color="auto"/>
              <w:bottom w:val="single" w:sz="4" w:space="0" w:color="auto"/>
              <w:right w:val="single" w:sz="4" w:space="0" w:color="auto"/>
            </w:tcBorders>
            <w:vAlign w:val="center"/>
            <w:hideMark/>
          </w:tcPr>
          <w:p w14:paraId="0B77CA72"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vMerge/>
            <w:tcBorders>
              <w:top w:val="nil"/>
              <w:left w:val="single" w:sz="4" w:space="0" w:color="auto"/>
              <w:bottom w:val="single" w:sz="4" w:space="0" w:color="auto"/>
              <w:right w:val="single" w:sz="4" w:space="0" w:color="auto"/>
            </w:tcBorders>
            <w:vAlign w:val="center"/>
            <w:hideMark/>
          </w:tcPr>
          <w:p w14:paraId="0D9E32FC"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tcBorders>
              <w:top w:val="nil"/>
              <w:left w:val="nil"/>
              <w:bottom w:val="single" w:sz="4" w:space="0" w:color="auto"/>
              <w:right w:val="single" w:sz="4" w:space="0" w:color="auto"/>
            </w:tcBorders>
            <w:shd w:val="clear" w:color="auto" w:fill="auto"/>
            <w:noWrap/>
            <w:vAlign w:val="center"/>
            <w:hideMark/>
          </w:tcPr>
          <w:p w14:paraId="0916B089"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15:22:50</w:t>
            </w:r>
          </w:p>
        </w:tc>
        <w:tc>
          <w:tcPr>
            <w:tcW w:w="1106" w:type="dxa"/>
            <w:tcBorders>
              <w:top w:val="nil"/>
              <w:left w:val="nil"/>
              <w:bottom w:val="single" w:sz="4" w:space="0" w:color="auto"/>
              <w:right w:val="single" w:sz="4" w:space="0" w:color="auto"/>
            </w:tcBorders>
            <w:shd w:val="clear" w:color="auto" w:fill="auto"/>
            <w:noWrap/>
            <w:vAlign w:val="center"/>
            <w:hideMark/>
          </w:tcPr>
          <w:p w14:paraId="467F3A15"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15:26:36</w:t>
            </w:r>
          </w:p>
        </w:tc>
        <w:tc>
          <w:tcPr>
            <w:tcW w:w="1106" w:type="dxa"/>
            <w:tcBorders>
              <w:top w:val="nil"/>
              <w:left w:val="nil"/>
              <w:bottom w:val="single" w:sz="4" w:space="0" w:color="auto"/>
              <w:right w:val="single" w:sz="4" w:space="0" w:color="auto"/>
            </w:tcBorders>
            <w:shd w:val="clear" w:color="auto" w:fill="auto"/>
            <w:noWrap/>
            <w:vAlign w:val="center"/>
            <w:hideMark/>
          </w:tcPr>
          <w:p w14:paraId="19E407F4"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 xml:space="preserve">15:27:00 </w:t>
            </w:r>
          </w:p>
        </w:tc>
        <w:tc>
          <w:tcPr>
            <w:tcW w:w="1106" w:type="dxa"/>
            <w:tcBorders>
              <w:top w:val="nil"/>
              <w:left w:val="nil"/>
              <w:bottom w:val="single" w:sz="4" w:space="0" w:color="auto"/>
              <w:right w:val="single" w:sz="4" w:space="0" w:color="auto"/>
            </w:tcBorders>
            <w:shd w:val="clear" w:color="auto" w:fill="auto"/>
            <w:noWrap/>
            <w:vAlign w:val="center"/>
            <w:hideMark/>
          </w:tcPr>
          <w:p w14:paraId="5C11EAB0"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15:32:07</w:t>
            </w:r>
          </w:p>
        </w:tc>
        <w:tc>
          <w:tcPr>
            <w:tcW w:w="1446" w:type="dxa"/>
            <w:vMerge/>
            <w:tcBorders>
              <w:top w:val="nil"/>
              <w:left w:val="single" w:sz="4" w:space="0" w:color="auto"/>
              <w:bottom w:val="single" w:sz="4" w:space="0" w:color="auto"/>
              <w:right w:val="single" w:sz="4" w:space="0" w:color="auto"/>
            </w:tcBorders>
            <w:vAlign w:val="center"/>
            <w:hideMark/>
          </w:tcPr>
          <w:p w14:paraId="366553FB" w14:textId="77777777" w:rsidR="0010654D" w:rsidRPr="008955C2" w:rsidRDefault="0010654D" w:rsidP="0010654D">
            <w:pPr>
              <w:spacing w:after="0"/>
              <w:rPr>
                <w:rFonts w:ascii="Times New Roman" w:eastAsia="Times New Roman" w:hAnsi="Times New Roman" w:cs="Times New Roman"/>
                <w:color w:val="000000"/>
                <w:sz w:val="24"/>
                <w:szCs w:val="24"/>
              </w:rPr>
            </w:pPr>
          </w:p>
        </w:tc>
      </w:tr>
      <w:tr w:rsidR="0010654D" w:rsidRPr="00A9626D" w14:paraId="78D80170" w14:textId="77777777" w:rsidTr="0010654D">
        <w:trPr>
          <w:trHeight w:val="288"/>
        </w:trPr>
        <w:tc>
          <w:tcPr>
            <w:tcW w:w="1343"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67C301CD"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3/15/2023</w:t>
            </w: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3F290FFB"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Fog</w:t>
            </w:r>
          </w:p>
        </w:tc>
        <w:tc>
          <w:tcPr>
            <w:tcW w:w="1106" w:type="dxa"/>
            <w:vMerge w:val="restart"/>
            <w:tcBorders>
              <w:top w:val="nil"/>
              <w:left w:val="single" w:sz="4" w:space="0" w:color="auto"/>
              <w:bottom w:val="single" w:sz="4" w:space="0" w:color="auto"/>
              <w:right w:val="single" w:sz="4" w:space="0" w:color="auto"/>
            </w:tcBorders>
            <w:shd w:val="clear" w:color="auto" w:fill="auto"/>
            <w:vAlign w:val="center"/>
            <w:hideMark/>
          </w:tcPr>
          <w:p w14:paraId="2556E95A"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4</w:t>
            </w:r>
          </w:p>
        </w:tc>
        <w:tc>
          <w:tcPr>
            <w:tcW w:w="1106" w:type="dxa"/>
            <w:tcBorders>
              <w:top w:val="nil"/>
              <w:left w:val="nil"/>
              <w:bottom w:val="single" w:sz="4" w:space="0" w:color="auto"/>
              <w:right w:val="single" w:sz="4" w:space="0" w:color="auto"/>
            </w:tcBorders>
            <w:shd w:val="clear" w:color="auto" w:fill="auto"/>
            <w:noWrap/>
            <w:vAlign w:val="center"/>
            <w:hideMark/>
          </w:tcPr>
          <w:p w14:paraId="1242DB05"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08:07:28</w:t>
            </w:r>
          </w:p>
        </w:tc>
        <w:tc>
          <w:tcPr>
            <w:tcW w:w="1106" w:type="dxa"/>
            <w:tcBorders>
              <w:top w:val="nil"/>
              <w:left w:val="nil"/>
              <w:bottom w:val="single" w:sz="4" w:space="0" w:color="auto"/>
              <w:right w:val="single" w:sz="4" w:space="0" w:color="auto"/>
            </w:tcBorders>
            <w:shd w:val="clear" w:color="auto" w:fill="auto"/>
            <w:noWrap/>
            <w:vAlign w:val="center"/>
            <w:hideMark/>
          </w:tcPr>
          <w:p w14:paraId="29D90092"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08:10:12</w:t>
            </w:r>
          </w:p>
        </w:tc>
        <w:tc>
          <w:tcPr>
            <w:tcW w:w="1106" w:type="dxa"/>
            <w:tcBorders>
              <w:top w:val="nil"/>
              <w:left w:val="nil"/>
              <w:bottom w:val="single" w:sz="4" w:space="0" w:color="auto"/>
              <w:right w:val="single" w:sz="4" w:space="0" w:color="auto"/>
            </w:tcBorders>
            <w:shd w:val="clear" w:color="auto" w:fill="auto"/>
            <w:noWrap/>
            <w:vAlign w:val="center"/>
            <w:hideMark/>
          </w:tcPr>
          <w:p w14:paraId="04F7ABE5"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08:10:27</w:t>
            </w:r>
          </w:p>
        </w:tc>
        <w:tc>
          <w:tcPr>
            <w:tcW w:w="1106" w:type="dxa"/>
            <w:tcBorders>
              <w:top w:val="nil"/>
              <w:left w:val="nil"/>
              <w:bottom w:val="single" w:sz="4" w:space="0" w:color="auto"/>
              <w:right w:val="single" w:sz="4" w:space="0" w:color="auto"/>
            </w:tcBorders>
            <w:shd w:val="clear" w:color="auto" w:fill="auto"/>
            <w:noWrap/>
            <w:vAlign w:val="center"/>
            <w:hideMark/>
          </w:tcPr>
          <w:p w14:paraId="2C8A3547"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08:15:15</w:t>
            </w:r>
          </w:p>
        </w:tc>
        <w:tc>
          <w:tcPr>
            <w:tcW w:w="1446" w:type="dxa"/>
            <w:vMerge w:val="restart"/>
            <w:tcBorders>
              <w:top w:val="nil"/>
              <w:left w:val="single" w:sz="4" w:space="0" w:color="auto"/>
              <w:bottom w:val="single" w:sz="4" w:space="0" w:color="auto"/>
              <w:right w:val="single" w:sz="4" w:space="0" w:color="auto"/>
            </w:tcBorders>
            <w:shd w:val="clear" w:color="auto" w:fill="auto"/>
            <w:vAlign w:val="center"/>
            <w:hideMark/>
          </w:tcPr>
          <w:p w14:paraId="4D2AAA67"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MiniOFS only</w:t>
            </w:r>
          </w:p>
        </w:tc>
      </w:tr>
      <w:tr w:rsidR="0010654D" w:rsidRPr="00A9626D" w14:paraId="1E9C34C4" w14:textId="77777777" w:rsidTr="0010654D">
        <w:trPr>
          <w:trHeight w:val="288"/>
        </w:trPr>
        <w:tc>
          <w:tcPr>
            <w:tcW w:w="13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11BC2598" w14:textId="77777777" w:rsidR="0010654D" w:rsidRPr="008955C2" w:rsidRDefault="0010654D" w:rsidP="0010654D">
            <w:pPr>
              <w:spacing w:after="0"/>
              <w:rPr>
                <w:rFonts w:ascii="Times New Roman" w:eastAsia="Times New Roman" w:hAnsi="Times New Roman" w:cs="Times New Roman"/>
                <w:b/>
                <w:bCs/>
                <w:color w:val="000000"/>
                <w:sz w:val="24"/>
                <w:szCs w:val="24"/>
              </w:rPr>
            </w:pPr>
          </w:p>
        </w:tc>
        <w:tc>
          <w:tcPr>
            <w:tcW w:w="1419" w:type="dxa"/>
            <w:vMerge/>
            <w:tcBorders>
              <w:top w:val="nil"/>
              <w:left w:val="single" w:sz="4" w:space="0" w:color="auto"/>
              <w:bottom w:val="single" w:sz="4" w:space="0" w:color="auto"/>
              <w:right w:val="single" w:sz="4" w:space="0" w:color="auto"/>
            </w:tcBorders>
            <w:vAlign w:val="center"/>
            <w:hideMark/>
          </w:tcPr>
          <w:p w14:paraId="79FAEE17"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vMerge/>
            <w:tcBorders>
              <w:top w:val="nil"/>
              <w:left w:val="single" w:sz="4" w:space="0" w:color="auto"/>
              <w:bottom w:val="single" w:sz="4" w:space="0" w:color="auto"/>
              <w:right w:val="single" w:sz="4" w:space="0" w:color="auto"/>
            </w:tcBorders>
            <w:vAlign w:val="center"/>
            <w:hideMark/>
          </w:tcPr>
          <w:p w14:paraId="2A8CD933"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tcBorders>
              <w:top w:val="nil"/>
              <w:left w:val="nil"/>
              <w:bottom w:val="single" w:sz="4" w:space="0" w:color="auto"/>
              <w:right w:val="single" w:sz="4" w:space="0" w:color="auto"/>
            </w:tcBorders>
            <w:shd w:val="clear" w:color="auto" w:fill="auto"/>
            <w:noWrap/>
            <w:vAlign w:val="center"/>
            <w:hideMark/>
          </w:tcPr>
          <w:p w14:paraId="78754248"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08:16:29</w:t>
            </w:r>
          </w:p>
        </w:tc>
        <w:tc>
          <w:tcPr>
            <w:tcW w:w="1106" w:type="dxa"/>
            <w:tcBorders>
              <w:top w:val="nil"/>
              <w:left w:val="nil"/>
              <w:bottom w:val="single" w:sz="4" w:space="0" w:color="auto"/>
              <w:right w:val="single" w:sz="4" w:space="0" w:color="auto"/>
            </w:tcBorders>
            <w:shd w:val="clear" w:color="auto" w:fill="auto"/>
            <w:noWrap/>
            <w:vAlign w:val="center"/>
            <w:hideMark/>
          </w:tcPr>
          <w:p w14:paraId="457CAC4E"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08:18:16</w:t>
            </w:r>
          </w:p>
        </w:tc>
        <w:tc>
          <w:tcPr>
            <w:tcW w:w="1106" w:type="dxa"/>
            <w:tcBorders>
              <w:top w:val="nil"/>
              <w:left w:val="nil"/>
              <w:bottom w:val="single" w:sz="4" w:space="0" w:color="auto"/>
              <w:right w:val="single" w:sz="4" w:space="0" w:color="auto"/>
            </w:tcBorders>
            <w:shd w:val="clear" w:color="auto" w:fill="auto"/>
            <w:noWrap/>
            <w:vAlign w:val="center"/>
            <w:hideMark/>
          </w:tcPr>
          <w:p w14:paraId="5AEB18C1"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08:18:39</w:t>
            </w:r>
          </w:p>
        </w:tc>
        <w:tc>
          <w:tcPr>
            <w:tcW w:w="1106" w:type="dxa"/>
            <w:tcBorders>
              <w:top w:val="nil"/>
              <w:left w:val="nil"/>
              <w:bottom w:val="single" w:sz="4" w:space="0" w:color="auto"/>
              <w:right w:val="single" w:sz="4" w:space="0" w:color="auto"/>
            </w:tcBorders>
            <w:shd w:val="clear" w:color="auto" w:fill="auto"/>
            <w:noWrap/>
            <w:vAlign w:val="center"/>
            <w:hideMark/>
          </w:tcPr>
          <w:p w14:paraId="08219DF3"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08:23:46</w:t>
            </w:r>
          </w:p>
        </w:tc>
        <w:tc>
          <w:tcPr>
            <w:tcW w:w="1446" w:type="dxa"/>
            <w:vMerge/>
            <w:tcBorders>
              <w:top w:val="nil"/>
              <w:left w:val="single" w:sz="4" w:space="0" w:color="auto"/>
              <w:bottom w:val="single" w:sz="4" w:space="0" w:color="auto"/>
              <w:right w:val="single" w:sz="4" w:space="0" w:color="auto"/>
            </w:tcBorders>
            <w:vAlign w:val="center"/>
            <w:hideMark/>
          </w:tcPr>
          <w:p w14:paraId="0CB53418" w14:textId="77777777" w:rsidR="0010654D" w:rsidRPr="008955C2" w:rsidRDefault="0010654D" w:rsidP="0010654D">
            <w:pPr>
              <w:spacing w:after="0"/>
              <w:rPr>
                <w:rFonts w:ascii="Times New Roman" w:eastAsia="Times New Roman" w:hAnsi="Times New Roman" w:cs="Times New Roman"/>
                <w:color w:val="000000"/>
                <w:sz w:val="24"/>
                <w:szCs w:val="24"/>
              </w:rPr>
            </w:pPr>
          </w:p>
        </w:tc>
      </w:tr>
      <w:tr w:rsidR="0010654D" w:rsidRPr="00A9626D" w14:paraId="42054617" w14:textId="77777777" w:rsidTr="0010654D">
        <w:trPr>
          <w:trHeight w:val="288"/>
        </w:trPr>
        <w:tc>
          <w:tcPr>
            <w:tcW w:w="13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9A117F2" w14:textId="77777777" w:rsidR="0010654D" w:rsidRPr="008955C2" w:rsidRDefault="0010654D" w:rsidP="0010654D">
            <w:pPr>
              <w:spacing w:after="0"/>
              <w:rPr>
                <w:rFonts w:ascii="Times New Roman" w:eastAsia="Times New Roman" w:hAnsi="Times New Roman" w:cs="Times New Roman"/>
                <w:b/>
                <w:bCs/>
                <w:color w:val="000000"/>
                <w:sz w:val="24"/>
                <w:szCs w:val="24"/>
              </w:rPr>
            </w:pPr>
          </w:p>
        </w:tc>
        <w:tc>
          <w:tcPr>
            <w:tcW w:w="1419" w:type="dxa"/>
            <w:vMerge/>
            <w:tcBorders>
              <w:top w:val="nil"/>
              <w:left w:val="single" w:sz="4" w:space="0" w:color="auto"/>
              <w:bottom w:val="single" w:sz="4" w:space="0" w:color="auto"/>
              <w:right w:val="single" w:sz="4" w:space="0" w:color="auto"/>
            </w:tcBorders>
            <w:vAlign w:val="center"/>
            <w:hideMark/>
          </w:tcPr>
          <w:p w14:paraId="64208976"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vMerge/>
            <w:tcBorders>
              <w:top w:val="nil"/>
              <w:left w:val="single" w:sz="4" w:space="0" w:color="auto"/>
              <w:bottom w:val="single" w:sz="4" w:space="0" w:color="auto"/>
              <w:right w:val="single" w:sz="4" w:space="0" w:color="auto"/>
            </w:tcBorders>
            <w:vAlign w:val="center"/>
            <w:hideMark/>
          </w:tcPr>
          <w:p w14:paraId="4F4658F2"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tcBorders>
              <w:top w:val="nil"/>
              <w:left w:val="nil"/>
              <w:bottom w:val="single" w:sz="4" w:space="0" w:color="auto"/>
              <w:right w:val="single" w:sz="4" w:space="0" w:color="auto"/>
            </w:tcBorders>
            <w:shd w:val="clear" w:color="auto" w:fill="auto"/>
            <w:noWrap/>
            <w:vAlign w:val="center"/>
            <w:hideMark/>
          </w:tcPr>
          <w:p w14:paraId="58CF1707"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08:46:32</w:t>
            </w:r>
          </w:p>
        </w:tc>
        <w:tc>
          <w:tcPr>
            <w:tcW w:w="1106" w:type="dxa"/>
            <w:tcBorders>
              <w:top w:val="nil"/>
              <w:left w:val="nil"/>
              <w:bottom w:val="single" w:sz="4" w:space="0" w:color="auto"/>
              <w:right w:val="single" w:sz="4" w:space="0" w:color="auto"/>
            </w:tcBorders>
            <w:shd w:val="clear" w:color="auto" w:fill="auto"/>
            <w:noWrap/>
            <w:vAlign w:val="center"/>
            <w:hideMark/>
          </w:tcPr>
          <w:p w14:paraId="1BB33C97"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08:49:28</w:t>
            </w:r>
          </w:p>
        </w:tc>
        <w:tc>
          <w:tcPr>
            <w:tcW w:w="1106" w:type="dxa"/>
            <w:tcBorders>
              <w:top w:val="nil"/>
              <w:left w:val="nil"/>
              <w:bottom w:val="single" w:sz="4" w:space="0" w:color="auto"/>
              <w:right w:val="single" w:sz="4" w:space="0" w:color="auto"/>
            </w:tcBorders>
            <w:shd w:val="clear" w:color="auto" w:fill="auto"/>
            <w:noWrap/>
            <w:vAlign w:val="center"/>
            <w:hideMark/>
          </w:tcPr>
          <w:p w14:paraId="4628268D"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08:50:35</w:t>
            </w:r>
          </w:p>
        </w:tc>
        <w:tc>
          <w:tcPr>
            <w:tcW w:w="1106" w:type="dxa"/>
            <w:tcBorders>
              <w:top w:val="nil"/>
              <w:left w:val="nil"/>
              <w:bottom w:val="single" w:sz="4" w:space="0" w:color="auto"/>
              <w:right w:val="single" w:sz="4" w:space="0" w:color="auto"/>
            </w:tcBorders>
            <w:shd w:val="clear" w:color="auto" w:fill="auto"/>
            <w:noWrap/>
            <w:vAlign w:val="center"/>
            <w:hideMark/>
          </w:tcPr>
          <w:p w14:paraId="0D5BC3D2"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08:53:43</w:t>
            </w:r>
          </w:p>
        </w:tc>
        <w:tc>
          <w:tcPr>
            <w:tcW w:w="1446" w:type="dxa"/>
            <w:vMerge/>
            <w:tcBorders>
              <w:top w:val="nil"/>
              <w:left w:val="single" w:sz="4" w:space="0" w:color="auto"/>
              <w:bottom w:val="single" w:sz="4" w:space="0" w:color="auto"/>
              <w:right w:val="single" w:sz="4" w:space="0" w:color="auto"/>
            </w:tcBorders>
            <w:vAlign w:val="center"/>
            <w:hideMark/>
          </w:tcPr>
          <w:p w14:paraId="1474058A" w14:textId="77777777" w:rsidR="0010654D" w:rsidRPr="008955C2" w:rsidRDefault="0010654D" w:rsidP="0010654D">
            <w:pPr>
              <w:spacing w:after="0"/>
              <w:rPr>
                <w:rFonts w:ascii="Times New Roman" w:eastAsia="Times New Roman" w:hAnsi="Times New Roman" w:cs="Times New Roman"/>
                <w:color w:val="000000"/>
                <w:sz w:val="24"/>
                <w:szCs w:val="24"/>
              </w:rPr>
            </w:pPr>
          </w:p>
        </w:tc>
      </w:tr>
      <w:tr w:rsidR="0010654D" w:rsidRPr="00A9626D" w14:paraId="49A45674" w14:textId="77777777" w:rsidTr="0010654D">
        <w:trPr>
          <w:trHeight w:val="288"/>
        </w:trPr>
        <w:tc>
          <w:tcPr>
            <w:tcW w:w="13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5F5EBAB8" w14:textId="77777777" w:rsidR="0010654D" w:rsidRPr="008955C2" w:rsidRDefault="0010654D" w:rsidP="0010654D">
            <w:pPr>
              <w:spacing w:after="0"/>
              <w:rPr>
                <w:rFonts w:ascii="Times New Roman" w:eastAsia="Times New Roman" w:hAnsi="Times New Roman" w:cs="Times New Roman"/>
                <w:b/>
                <w:bCs/>
                <w:color w:val="000000"/>
                <w:sz w:val="24"/>
                <w:szCs w:val="24"/>
              </w:rPr>
            </w:pPr>
          </w:p>
        </w:tc>
        <w:tc>
          <w:tcPr>
            <w:tcW w:w="1419" w:type="dxa"/>
            <w:vMerge/>
            <w:tcBorders>
              <w:top w:val="nil"/>
              <w:left w:val="single" w:sz="4" w:space="0" w:color="auto"/>
              <w:bottom w:val="single" w:sz="4" w:space="0" w:color="auto"/>
              <w:right w:val="single" w:sz="4" w:space="0" w:color="auto"/>
            </w:tcBorders>
            <w:vAlign w:val="center"/>
            <w:hideMark/>
          </w:tcPr>
          <w:p w14:paraId="502E00EE"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vMerge/>
            <w:tcBorders>
              <w:top w:val="nil"/>
              <w:left w:val="single" w:sz="4" w:space="0" w:color="auto"/>
              <w:bottom w:val="single" w:sz="4" w:space="0" w:color="auto"/>
              <w:right w:val="single" w:sz="4" w:space="0" w:color="auto"/>
            </w:tcBorders>
            <w:vAlign w:val="center"/>
            <w:hideMark/>
          </w:tcPr>
          <w:p w14:paraId="0FE68D5F"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tcBorders>
              <w:top w:val="nil"/>
              <w:left w:val="nil"/>
              <w:bottom w:val="single" w:sz="4" w:space="0" w:color="auto"/>
              <w:right w:val="single" w:sz="4" w:space="0" w:color="auto"/>
            </w:tcBorders>
            <w:shd w:val="clear" w:color="auto" w:fill="auto"/>
            <w:noWrap/>
            <w:vAlign w:val="center"/>
            <w:hideMark/>
          </w:tcPr>
          <w:p w14:paraId="1ACA2000"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08:53:49</w:t>
            </w:r>
          </w:p>
        </w:tc>
        <w:tc>
          <w:tcPr>
            <w:tcW w:w="1106" w:type="dxa"/>
            <w:tcBorders>
              <w:top w:val="nil"/>
              <w:left w:val="nil"/>
              <w:bottom w:val="single" w:sz="4" w:space="0" w:color="auto"/>
              <w:right w:val="single" w:sz="4" w:space="0" w:color="auto"/>
            </w:tcBorders>
            <w:shd w:val="clear" w:color="auto" w:fill="auto"/>
            <w:noWrap/>
            <w:vAlign w:val="center"/>
            <w:hideMark/>
          </w:tcPr>
          <w:p w14:paraId="573A531A"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08:55:05</w:t>
            </w:r>
          </w:p>
        </w:tc>
        <w:tc>
          <w:tcPr>
            <w:tcW w:w="1106" w:type="dxa"/>
            <w:tcBorders>
              <w:top w:val="nil"/>
              <w:left w:val="nil"/>
              <w:bottom w:val="single" w:sz="4" w:space="0" w:color="auto"/>
              <w:right w:val="single" w:sz="4" w:space="0" w:color="auto"/>
            </w:tcBorders>
            <w:shd w:val="clear" w:color="auto" w:fill="auto"/>
            <w:noWrap/>
            <w:vAlign w:val="center"/>
            <w:hideMark/>
          </w:tcPr>
          <w:p w14:paraId="7392E1A3"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08:55:06</w:t>
            </w:r>
          </w:p>
        </w:tc>
        <w:tc>
          <w:tcPr>
            <w:tcW w:w="1106" w:type="dxa"/>
            <w:tcBorders>
              <w:top w:val="nil"/>
              <w:left w:val="nil"/>
              <w:bottom w:val="single" w:sz="4" w:space="0" w:color="auto"/>
              <w:right w:val="single" w:sz="4" w:space="0" w:color="auto"/>
            </w:tcBorders>
            <w:shd w:val="clear" w:color="auto" w:fill="auto"/>
            <w:noWrap/>
            <w:vAlign w:val="center"/>
            <w:hideMark/>
          </w:tcPr>
          <w:p w14:paraId="64E71835"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08:56:37</w:t>
            </w:r>
          </w:p>
        </w:tc>
        <w:tc>
          <w:tcPr>
            <w:tcW w:w="1446" w:type="dxa"/>
            <w:vMerge/>
            <w:tcBorders>
              <w:top w:val="nil"/>
              <w:left w:val="single" w:sz="4" w:space="0" w:color="auto"/>
              <w:bottom w:val="single" w:sz="4" w:space="0" w:color="auto"/>
              <w:right w:val="single" w:sz="4" w:space="0" w:color="auto"/>
            </w:tcBorders>
            <w:vAlign w:val="center"/>
            <w:hideMark/>
          </w:tcPr>
          <w:p w14:paraId="10989BF9" w14:textId="77777777" w:rsidR="0010654D" w:rsidRPr="008955C2" w:rsidRDefault="0010654D" w:rsidP="0010654D">
            <w:pPr>
              <w:spacing w:after="0"/>
              <w:rPr>
                <w:rFonts w:ascii="Times New Roman" w:eastAsia="Times New Roman" w:hAnsi="Times New Roman" w:cs="Times New Roman"/>
                <w:color w:val="000000"/>
                <w:sz w:val="24"/>
                <w:szCs w:val="24"/>
              </w:rPr>
            </w:pPr>
          </w:p>
        </w:tc>
      </w:tr>
      <w:tr w:rsidR="0010654D" w:rsidRPr="00A9626D" w14:paraId="44785CB9" w14:textId="77777777" w:rsidTr="0010654D">
        <w:trPr>
          <w:trHeight w:val="288"/>
        </w:trPr>
        <w:tc>
          <w:tcPr>
            <w:tcW w:w="1343"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4095866B"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3/23/2023</w:t>
            </w: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43528E63"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Fog</w:t>
            </w:r>
          </w:p>
        </w:tc>
        <w:tc>
          <w:tcPr>
            <w:tcW w:w="1106" w:type="dxa"/>
            <w:vMerge w:val="restart"/>
            <w:tcBorders>
              <w:top w:val="nil"/>
              <w:left w:val="single" w:sz="4" w:space="0" w:color="auto"/>
              <w:bottom w:val="single" w:sz="4" w:space="0" w:color="auto"/>
              <w:right w:val="single" w:sz="4" w:space="0" w:color="auto"/>
            </w:tcBorders>
            <w:shd w:val="clear" w:color="auto" w:fill="auto"/>
            <w:vAlign w:val="center"/>
            <w:hideMark/>
          </w:tcPr>
          <w:p w14:paraId="512D4BCC"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4</w:t>
            </w:r>
          </w:p>
        </w:tc>
        <w:tc>
          <w:tcPr>
            <w:tcW w:w="1106" w:type="dxa"/>
            <w:tcBorders>
              <w:top w:val="nil"/>
              <w:left w:val="nil"/>
              <w:bottom w:val="single" w:sz="4" w:space="0" w:color="auto"/>
              <w:right w:val="single" w:sz="4" w:space="0" w:color="auto"/>
            </w:tcBorders>
            <w:shd w:val="clear" w:color="auto" w:fill="auto"/>
            <w:noWrap/>
            <w:vAlign w:val="center"/>
            <w:hideMark/>
          </w:tcPr>
          <w:p w14:paraId="51C1B729"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08:19:56</w:t>
            </w:r>
          </w:p>
        </w:tc>
        <w:tc>
          <w:tcPr>
            <w:tcW w:w="1106" w:type="dxa"/>
            <w:tcBorders>
              <w:top w:val="nil"/>
              <w:left w:val="nil"/>
              <w:bottom w:val="single" w:sz="4" w:space="0" w:color="auto"/>
              <w:right w:val="single" w:sz="4" w:space="0" w:color="auto"/>
            </w:tcBorders>
            <w:shd w:val="clear" w:color="auto" w:fill="auto"/>
            <w:noWrap/>
            <w:vAlign w:val="center"/>
            <w:hideMark/>
          </w:tcPr>
          <w:p w14:paraId="0F9C88DF"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08:22:48</w:t>
            </w:r>
          </w:p>
        </w:tc>
        <w:tc>
          <w:tcPr>
            <w:tcW w:w="1106" w:type="dxa"/>
            <w:tcBorders>
              <w:top w:val="nil"/>
              <w:left w:val="nil"/>
              <w:bottom w:val="single" w:sz="4" w:space="0" w:color="auto"/>
              <w:right w:val="single" w:sz="4" w:space="0" w:color="auto"/>
            </w:tcBorders>
            <w:shd w:val="clear" w:color="auto" w:fill="auto"/>
            <w:noWrap/>
            <w:vAlign w:val="center"/>
            <w:hideMark/>
          </w:tcPr>
          <w:p w14:paraId="033B98D9"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08:23:10</w:t>
            </w:r>
          </w:p>
        </w:tc>
        <w:tc>
          <w:tcPr>
            <w:tcW w:w="1106" w:type="dxa"/>
            <w:tcBorders>
              <w:top w:val="nil"/>
              <w:left w:val="nil"/>
              <w:bottom w:val="single" w:sz="4" w:space="0" w:color="auto"/>
              <w:right w:val="single" w:sz="4" w:space="0" w:color="auto"/>
            </w:tcBorders>
            <w:shd w:val="clear" w:color="auto" w:fill="auto"/>
            <w:noWrap/>
            <w:vAlign w:val="center"/>
            <w:hideMark/>
          </w:tcPr>
          <w:p w14:paraId="20637B66"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08:26:17</w:t>
            </w:r>
          </w:p>
        </w:tc>
        <w:tc>
          <w:tcPr>
            <w:tcW w:w="1446" w:type="dxa"/>
            <w:vMerge w:val="restart"/>
            <w:tcBorders>
              <w:top w:val="nil"/>
              <w:left w:val="single" w:sz="4" w:space="0" w:color="auto"/>
              <w:bottom w:val="single" w:sz="4" w:space="0" w:color="auto"/>
              <w:right w:val="single" w:sz="4" w:space="0" w:color="auto"/>
            </w:tcBorders>
            <w:shd w:val="clear" w:color="auto" w:fill="auto"/>
            <w:vAlign w:val="center"/>
            <w:hideMark/>
          </w:tcPr>
          <w:p w14:paraId="2381C53C"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MiniOFS only</w:t>
            </w:r>
          </w:p>
        </w:tc>
      </w:tr>
      <w:tr w:rsidR="0010654D" w:rsidRPr="00A9626D" w14:paraId="19CA14A0" w14:textId="77777777" w:rsidTr="0010654D">
        <w:trPr>
          <w:trHeight w:val="288"/>
        </w:trPr>
        <w:tc>
          <w:tcPr>
            <w:tcW w:w="13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5889FB73" w14:textId="77777777" w:rsidR="0010654D" w:rsidRPr="008955C2" w:rsidRDefault="0010654D" w:rsidP="0010654D">
            <w:pPr>
              <w:spacing w:after="0"/>
              <w:rPr>
                <w:rFonts w:ascii="Times New Roman" w:eastAsia="Times New Roman" w:hAnsi="Times New Roman" w:cs="Times New Roman"/>
                <w:b/>
                <w:bCs/>
                <w:color w:val="000000"/>
                <w:sz w:val="24"/>
                <w:szCs w:val="24"/>
              </w:rPr>
            </w:pPr>
          </w:p>
        </w:tc>
        <w:tc>
          <w:tcPr>
            <w:tcW w:w="1419" w:type="dxa"/>
            <w:vMerge/>
            <w:tcBorders>
              <w:top w:val="nil"/>
              <w:left w:val="single" w:sz="4" w:space="0" w:color="auto"/>
              <w:bottom w:val="single" w:sz="4" w:space="0" w:color="auto"/>
              <w:right w:val="single" w:sz="4" w:space="0" w:color="auto"/>
            </w:tcBorders>
            <w:vAlign w:val="center"/>
            <w:hideMark/>
          </w:tcPr>
          <w:p w14:paraId="4080473D"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vMerge/>
            <w:tcBorders>
              <w:top w:val="nil"/>
              <w:left w:val="single" w:sz="4" w:space="0" w:color="auto"/>
              <w:bottom w:val="single" w:sz="4" w:space="0" w:color="auto"/>
              <w:right w:val="single" w:sz="4" w:space="0" w:color="auto"/>
            </w:tcBorders>
            <w:vAlign w:val="center"/>
            <w:hideMark/>
          </w:tcPr>
          <w:p w14:paraId="1439CE8C"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tcBorders>
              <w:top w:val="nil"/>
              <w:left w:val="nil"/>
              <w:bottom w:val="single" w:sz="4" w:space="0" w:color="auto"/>
              <w:right w:val="single" w:sz="4" w:space="0" w:color="auto"/>
            </w:tcBorders>
            <w:shd w:val="clear" w:color="auto" w:fill="auto"/>
            <w:noWrap/>
            <w:vAlign w:val="center"/>
            <w:hideMark/>
          </w:tcPr>
          <w:p w14:paraId="08B58D1B"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08:30:22</w:t>
            </w:r>
          </w:p>
        </w:tc>
        <w:tc>
          <w:tcPr>
            <w:tcW w:w="1106" w:type="dxa"/>
            <w:tcBorders>
              <w:top w:val="nil"/>
              <w:left w:val="nil"/>
              <w:bottom w:val="single" w:sz="4" w:space="0" w:color="auto"/>
              <w:right w:val="single" w:sz="4" w:space="0" w:color="auto"/>
            </w:tcBorders>
            <w:shd w:val="clear" w:color="auto" w:fill="auto"/>
            <w:noWrap/>
            <w:vAlign w:val="center"/>
            <w:hideMark/>
          </w:tcPr>
          <w:p w14:paraId="37F2F9C9"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08:33:52</w:t>
            </w:r>
          </w:p>
        </w:tc>
        <w:tc>
          <w:tcPr>
            <w:tcW w:w="1106" w:type="dxa"/>
            <w:tcBorders>
              <w:top w:val="nil"/>
              <w:left w:val="nil"/>
              <w:bottom w:val="single" w:sz="4" w:space="0" w:color="auto"/>
              <w:right w:val="single" w:sz="4" w:space="0" w:color="auto"/>
            </w:tcBorders>
            <w:shd w:val="clear" w:color="auto" w:fill="auto"/>
            <w:noWrap/>
            <w:vAlign w:val="center"/>
            <w:hideMark/>
          </w:tcPr>
          <w:p w14:paraId="7F65579A"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08:34:52</w:t>
            </w:r>
          </w:p>
        </w:tc>
        <w:tc>
          <w:tcPr>
            <w:tcW w:w="1106" w:type="dxa"/>
            <w:tcBorders>
              <w:top w:val="nil"/>
              <w:left w:val="nil"/>
              <w:bottom w:val="single" w:sz="4" w:space="0" w:color="auto"/>
              <w:right w:val="single" w:sz="4" w:space="0" w:color="auto"/>
            </w:tcBorders>
            <w:shd w:val="clear" w:color="auto" w:fill="auto"/>
            <w:noWrap/>
            <w:vAlign w:val="center"/>
            <w:hideMark/>
          </w:tcPr>
          <w:p w14:paraId="6DDEA900"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08:37:28</w:t>
            </w:r>
          </w:p>
        </w:tc>
        <w:tc>
          <w:tcPr>
            <w:tcW w:w="1446" w:type="dxa"/>
            <w:vMerge/>
            <w:tcBorders>
              <w:top w:val="nil"/>
              <w:left w:val="single" w:sz="4" w:space="0" w:color="auto"/>
              <w:bottom w:val="single" w:sz="4" w:space="0" w:color="auto"/>
              <w:right w:val="single" w:sz="4" w:space="0" w:color="auto"/>
            </w:tcBorders>
            <w:vAlign w:val="center"/>
            <w:hideMark/>
          </w:tcPr>
          <w:p w14:paraId="12066129" w14:textId="77777777" w:rsidR="0010654D" w:rsidRPr="008955C2" w:rsidRDefault="0010654D" w:rsidP="0010654D">
            <w:pPr>
              <w:spacing w:after="0"/>
              <w:rPr>
                <w:rFonts w:ascii="Times New Roman" w:eastAsia="Times New Roman" w:hAnsi="Times New Roman" w:cs="Times New Roman"/>
                <w:color w:val="000000"/>
                <w:sz w:val="24"/>
                <w:szCs w:val="24"/>
              </w:rPr>
            </w:pPr>
          </w:p>
        </w:tc>
      </w:tr>
      <w:tr w:rsidR="0010654D" w:rsidRPr="00A9626D" w14:paraId="739B3FAA" w14:textId="77777777" w:rsidTr="0010654D">
        <w:trPr>
          <w:trHeight w:val="288"/>
        </w:trPr>
        <w:tc>
          <w:tcPr>
            <w:tcW w:w="13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885F079" w14:textId="77777777" w:rsidR="0010654D" w:rsidRPr="008955C2" w:rsidRDefault="0010654D" w:rsidP="0010654D">
            <w:pPr>
              <w:spacing w:after="0"/>
              <w:rPr>
                <w:rFonts w:ascii="Times New Roman" w:eastAsia="Times New Roman" w:hAnsi="Times New Roman" w:cs="Times New Roman"/>
                <w:b/>
                <w:bCs/>
                <w:color w:val="000000"/>
                <w:sz w:val="24"/>
                <w:szCs w:val="24"/>
              </w:rPr>
            </w:pPr>
          </w:p>
        </w:tc>
        <w:tc>
          <w:tcPr>
            <w:tcW w:w="1419" w:type="dxa"/>
            <w:vMerge/>
            <w:tcBorders>
              <w:top w:val="nil"/>
              <w:left w:val="single" w:sz="4" w:space="0" w:color="auto"/>
              <w:bottom w:val="single" w:sz="4" w:space="0" w:color="auto"/>
              <w:right w:val="single" w:sz="4" w:space="0" w:color="auto"/>
            </w:tcBorders>
            <w:vAlign w:val="center"/>
            <w:hideMark/>
          </w:tcPr>
          <w:p w14:paraId="4567548F"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vMerge/>
            <w:tcBorders>
              <w:top w:val="nil"/>
              <w:left w:val="single" w:sz="4" w:space="0" w:color="auto"/>
              <w:bottom w:val="single" w:sz="4" w:space="0" w:color="auto"/>
              <w:right w:val="single" w:sz="4" w:space="0" w:color="auto"/>
            </w:tcBorders>
            <w:vAlign w:val="center"/>
            <w:hideMark/>
          </w:tcPr>
          <w:p w14:paraId="2823BC81"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tcBorders>
              <w:top w:val="nil"/>
              <w:left w:val="nil"/>
              <w:bottom w:val="single" w:sz="4" w:space="0" w:color="auto"/>
              <w:right w:val="single" w:sz="4" w:space="0" w:color="auto"/>
            </w:tcBorders>
            <w:shd w:val="clear" w:color="auto" w:fill="auto"/>
            <w:noWrap/>
            <w:vAlign w:val="center"/>
            <w:hideMark/>
          </w:tcPr>
          <w:p w14:paraId="7E03706F"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08:45:30</w:t>
            </w:r>
          </w:p>
        </w:tc>
        <w:tc>
          <w:tcPr>
            <w:tcW w:w="1106" w:type="dxa"/>
            <w:tcBorders>
              <w:top w:val="nil"/>
              <w:left w:val="nil"/>
              <w:bottom w:val="single" w:sz="4" w:space="0" w:color="auto"/>
              <w:right w:val="single" w:sz="4" w:space="0" w:color="auto"/>
            </w:tcBorders>
            <w:shd w:val="clear" w:color="auto" w:fill="auto"/>
            <w:noWrap/>
            <w:vAlign w:val="center"/>
            <w:hideMark/>
          </w:tcPr>
          <w:p w14:paraId="64FD4EC7"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08:46:52</w:t>
            </w:r>
          </w:p>
        </w:tc>
        <w:tc>
          <w:tcPr>
            <w:tcW w:w="1106" w:type="dxa"/>
            <w:tcBorders>
              <w:top w:val="nil"/>
              <w:left w:val="nil"/>
              <w:bottom w:val="single" w:sz="4" w:space="0" w:color="auto"/>
              <w:right w:val="single" w:sz="4" w:space="0" w:color="auto"/>
            </w:tcBorders>
            <w:shd w:val="clear" w:color="auto" w:fill="auto"/>
            <w:noWrap/>
            <w:vAlign w:val="center"/>
            <w:hideMark/>
          </w:tcPr>
          <w:p w14:paraId="64C41D41"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08:48:39</w:t>
            </w:r>
          </w:p>
        </w:tc>
        <w:tc>
          <w:tcPr>
            <w:tcW w:w="1106" w:type="dxa"/>
            <w:tcBorders>
              <w:top w:val="nil"/>
              <w:left w:val="nil"/>
              <w:bottom w:val="single" w:sz="4" w:space="0" w:color="auto"/>
              <w:right w:val="single" w:sz="4" w:space="0" w:color="auto"/>
            </w:tcBorders>
            <w:shd w:val="clear" w:color="auto" w:fill="auto"/>
            <w:noWrap/>
            <w:vAlign w:val="center"/>
            <w:hideMark/>
          </w:tcPr>
          <w:p w14:paraId="52A33535"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08:49:54</w:t>
            </w:r>
          </w:p>
        </w:tc>
        <w:tc>
          <w:tcPr>
            <w:tcW w:w="1446" w:type="dxa"/>
            <w:vMerge/>
            <w:tcBorders>
              <w:top w:val="nil"/>
              <w:left w:val="single" w:sz="4" w:space="0" w:color="auto"/>
              <w:bottom w:val="single" w:sz="4" w:space="0" w:color="auto"/>
              <w:right w:val="single" w:sz="4" w:space="0" w:color="auto"/>
            </w:tcBorders>
            <w:vAlign w:val="center"/>
            <w:hideMark/>
          </w:tcPr>
          <w:p w14:paraId="5A3D0FFD" w14:textId="77777777" w:rsidR="0010654D" w:rsidRPr="008955C2" w:rsidRDefault="0010654D" w:rsidP="0010654D">
            <w:pPr>
              <w:spacing w:after="0"/>
              <w:rPr>
                <w:rFonts w:ascii="Times New Roman" w:eastAsia="Times New Roman" w:hAnsi="Times New Roman" w:cs="Times New Roman"/>
                <w:color w:val="000000"/>
                <w:sz w:val="24"/>
                <w:szCs w:val="24"/>
              </w:rPr>
            </w:pPr>
          </w:p>
        </w:tc>
      </w:tr>
      <w:tr w:rsidR="0010654D" w:rsidRPr="00A9626D" w14:paraId="6B9D9622" w14:textId="77777777" w:rsidTr="0010654D">
        <w:trPr>
          <w:trHeight w:val="288"/>
        </w:trPr>
        <w:tc>
          <w:tcPr>
            <w:tcW w:w="13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25E64609" w14:textId="77777777" w:rsidR="0010654D" w:rsidRPr="008955C2" w:rsidRDefault="0010654D" w:rsidP="0010654D">
            <w:pPr>
              <w:spacing w:after="0"/>
              <w:rPr>
                <w:rFonts w:ascii="Times New Roman" w:eastAsia="Times New Roman" w:hAnsi="Times New Roman" w:cs="Times New Roman"/>
                <w:b/>
                <w:bCs/>
                <w:color w:val="000000"/>
                <w:sz w:val="24"/>
                <w:szCs w:val="24"/>
              </w:rPr>
            </w:pPr>
          </w:p>
        </w:tc>
        <w:tc>
          <w:tcPr>
            <w:tcW w:w="1419" w:type="dxa"/>
            <w:vMerge/>
            <w:tcBorders>
              <w:top w:val="nil"/>
              <w:left w:val="single" w:sz="4" w:space="0" w:color="auto"/>
              <w:bottom w:val="single" w:sz="4" w:space="0" w:color="auto"/>
              <w:right w:val="single" w:sz="4" w:space="0" w:color="auto"/>
            </w:tcBorders>
            <w:vAlign w:val="center"/>
            <w:hideMark/>
          </w:tcPr>
          <w:p w14:paraId="0E1982B1"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vMerge/>
            <w:tcBorders>
              <w:top w:val="nil"/>
              <w:left w:val="single" w:sz="4" w:space="0" w:color="auto"/>
              <w:bottom w:val="single" w:sz="4" w:space="0" w:color="auto"/>
              <w:right w:val="single" w:sz="4" w:space="0" w:color="auto"/>
            </w:tcBorders>
            <w:vAlign w:val="center"/>
            <w:hideMark/>
          </w:tcPr>
          <w:p w14:paraId="03B7755B"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tcBorders>
              <w:top w:val="nil"/>
              <w:left w:val="nil"/>
              <w:bottom w:val="single" w:sz="4" w:space="0" w:color="auto"/>
              <w:right w:val="single" w:sz="4" w:space="0" w:color="auto"/>
            </w:tcBorders>
            <w:shd w:val="clear" w:color="auto" w:fill="auto"/>
            <w:noWrap/>
            <w:vAlign w:val="center"/>
            <w:hideMark/>
          </w:tcPr>
          <w:p w14:paraId="301DC840"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09:16:21</w:t>
            </w:r>
          </w:p>
        </w:tc>
        <w:tc>
          <w:tcPr>
            <w:tcW w:w="1106" w:type="dxa"/>
            <w:tcBorders>
              <w:top w:val="nil"/>
              <w:left w:val="nil"/>
              <w:bottom w:val="single" w:sz="4" w:space="0" w:color="auto"/>
              <w:right w:val="single" w:sz="4" w:space="0" w:color="auto"/>
            </w:tcBorders>
            <w:shd w:val="clear" w:color="auto" w:fill="auto"/>
            <w:noWrap/>
            <w:vAlign w:val="center"/>
            <w:hideMark/>
          </w:tcPr>
          <w:p w14:paraId="01980ED4"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09:21:05</w:t>
            </w:r>
          </w:p>
        </w:tc>
        <w:tc>
          <w:tcPr>
            <w:tcW w:w="1106" w:type="dxa"/>
            <w:tcBorders>
              <w:top w:val="nil"/>
              <w:left w:val="nil"/>
              <w:bottom w:val="single" w:sz="4" w:space="0" w:color="auto"/>
              <w:right w:val="single" w:sz="4" w:space="0" w:color="auto"/>
            </w:tcBorders>
            <w:shd w:val="clear" w:color="auto" w:fill="auto"/>
            <w:noWrap/>
            <w:vAlign w:val="center"/>
            <w:hideMark/>
          </w:tcPr>
          <w:p w14:paraId="417D8ABF"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09:22:28</w:t>
            </w:r>
          </w:p>
        </w:tc>
        <w:tc>
          <w:tcPr>
            <w:tcW w:w="1106" w:type="dxa"/>
            <w:tcBorders>
              <w:top w:val="nil"/>
              <w:left w:val="nil"/>
              <w:bottom w:val="single" w:sz="4" w:space="0" w:color="auto"/>
              <w:right w:val="single" w:sz="4" w:space="0" w:color="auto"/>
            </w:tcBorders>
            <w:shd w:val="clear" w:color="auto" w:fill="auto"/>
            <w:noWrap/>
            <w:vAlign w:val="center"/>
            <w:hideMark/>
          </w:tcPr>
          <w:p w14:paraId="08408FEB"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09:27:20</w:t>
            </w:r>
          </w:p>
        </w:tc>
        <w:tc>
          <w:tcPr>
            <w:tcW w:w="1446" w:type="dxa"/>
            <w:vMerge/>
            <w:tcBorders>
              <w:top w:val="nil"/>
              <w:left w:val="single" w:sz="4" w:space="0" w:color="auto"/>
              <w:bottom w:val="single" w:sz="4" w:space="0" w:color="auto"/>
              <w:right w:val="single" w:sz="4" w:space="0" w:color="auto"/>
            </w:tcBorders>
            <w:vAlign w:val="center"/>
            <w:hideMark/>
          </w:tcPr>
          <w:p w14:paraId="2FDDD0BC" w14:textId="77777777" w:rsidR="0010654D" w:rsidRPr="008955C2" w:rsidRDefault="0010654D" w:rsidP="0010654D">
            <w:pPr>
              <w:spacing w:after="0"/>
              <w:rPr>
                <w:rFonts w:ascii="Times New Roman" w:eastAsia="Times New Roman" w:hAnsi="Times New Roman" w:cs="Times New Roman"/>
                <w:color w:val="000000"/>
                <w:sz w:val="24"/>
                <w:szCs w:val="24"/>
              </w:rPr>
            </w:pPr>
          </w:p>
        </w:tc>
      </w:tr>
      <w:tr w:rsidR="0010654D" w:rsidRPr="00A9626D" w14:paraId="40B69D22" w14:textId="77777777" w:rsidTr="0010654D">
        <w:trPr>
          <w:trHeight w:val="288"/>
        </w:trPr>
        <w:tc>
          <w:tcPr>
            <w:tcW w:w="1343"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17958E64" w14:textId="77777777" w:rsidR="0010654D" w:rsidRPr="008955C2" w:rsidRDefault="0010654D" w:rsidP="0010654D">
            <w:pPr>
              <w:spacing w:after="0"/>
              <w:jc w:val="center"/>
              <w:rPr>
                <w:rFonts w:ascii="Times New Roman" w:eastAsia="Times New Roman" w:hAnsi="Times New Roman" w:cs="Times New Roman"/>
                <w:b/>
                <w:bCs/>
                <w:color w:val="000000"/>
                <w:sz w:val="24"/>
                <w:szCs w:val="24"/>
              </w:rPr>
            </w:pPr>
            <w:r w:rsidRPr="008955C2">
              <w:rPr>
                <w:rFonts w:ascii="Times New Roman" w:eastAsia="Times New Roman" w:hAnsi="Times New Roman" w:cs="Times New Roman"/>
                <w:b/>
                <w:bCs/>
                <w:color w:val="000000"/>
                <w:sz w:val="24"/>
                <w:szCs w:val="24"/>
              </w:rPr>
              <w:t>3/24/2023</w:t>
            </w:r>
          </w:p>
        </w:tc>
        <w:tc>
          <w:tcPr>
            <w:tcW w:w="1419" w:type="dxa"/>
            <w:vMerge w:val="restart"/>
            <w:tcBorders>
              <w:top w:val="nil"/>
              <w:left w:val="single" w:sz="4" w:space="0" w:color="auto"/>
              <w:bottom w:val="single" w:sz="4" w:space="0" w:color="auto"/>
              <w:right w:val="single" w:sz="4" w:space="0" w:color="auto"/>
            </w:tcBorders>
            <w:shd w:val="clear" w:color="auto" w:fill="auto"/>
            <w:vAlign w:val="center"/>
            <w:hideMark/>
          </w:tcPr>
          <w:p w14:paraId="5F844581"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Fog</w:t>
            </w:r>
          </w:p>
        </w:tc>
        <w:tc>
          <w:tcPr>
            <w:tcW w:w="1106" w:type="dxa"/>
            <w:vMerge w:val="restart"/>
            <w:tcBorders>
              <w:top w:val="nil"/>
              <w:left w:val="single" w:sz="4" w:space="0" w:color="auto"/>
              <w:bottom w:val="single" w:sz="4" w:space="0" w:color="auto"/>
              <w:right w:val="single" w:sz="4" w:space="0" w:color="auto"/>
            </w:tcBorders>
            <w:shd w:val="clear" w:color="auto" w:fill="auto"/>
            <w:vAlign w:val="center"/>
            <w:hideMark/>
          </w:tcPr>
          <w:p w14:paraId="706B4206"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3</w:t>
            </w:r>
          </w:p>
        </w:tc>
        <w:tc>
          <w:tcPr>
            <w:tcW w:w="1106" w:type="dxa"/>
            <w:tcBorders>
              <w:top w:val="nil"/>
              <w:left w:val="nil"/>
              <w:bottom w:val="single" w:sz="4" w:space="0" w:color="auto"/>
              <w:right w:val="single" w:sz="4" w:space="0" w:color="auto"/>
            </w:tcBorders>
            <w:shd w:val="clear" w:color="auto" w:fill="auto"/>
            <w:noWrap/>
            <w:vAlign w:val="center"/>
            <w:hideMark/>
          </w:tcPr>
          <w:p w14:paraId="5DD0CA0D"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08:02:26</w:t>
            </w:r>
          </w:p>
        </w:tc>
        <w:tc>
          <w:tcPr>
            <w:tcW w:w="1106" w:type="dxa"/>
            <w:tcBorders>
              <w:top w:val="nil"/>
              <w:left w:val="nil"/>
              <w:bottom w:val="single" w:sz="4" w:space="0" w:color="auto"/>
              <w:right w:val="single" w:sz="4" w:space="0" w:color="auto"/>
            </w:tcBorders>
            <w:shd w:val="clear" w:color="auto" w:fill="auto"/>
            <w:noWrap/>
            <w:vAlign w:val="center"/>
            <w:hideMark/>
          </w:tcPr>
          <w:p w14:paraId="2DE447E4"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08:05:32</w:t>
            </w:r>
          </w:p>
        </w:tc>
        <w:tc>
          <w:tcPr>
            <w:tcW w:w="1106" w:type="dxa"/>
            <w:tcBorders>
              <w:top w:val="nil"/>
              <w:left w:val="nil"/>
              <w:bottom w:val="single" w:sz="4" w:space="0" w:color="auto"/>
              <w:right w:val="single" w:sz="4" w:space="0" w:color="auto"/>
            </w:tcBorders>
            <w:shd w:val="clear" w:color="auto" w:fill="auto"/>
            <w:noWrap/>
            <w:vAlign w:val="center"/>
            <w:hideMark/>
          </w:tcPr>
          <w:p w14:paraId="29A6B046"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08:06:38</w:t>
            </w:r>
          </w:p>
        </w:tc>
        <w:tc>
          <w:tcPr>
            <w:tcW w:w="1106" w:type="dxa"/>
            <w:tcBorders>
              <w:top w:val="nil"/>
              <w:left w:val="nil"/>
              <w:bottom w:val="single" w:sz="4" w:space="0" w:color="auto"/>
              <w:right w:val="single" w:sz="4" w:space="0" w:color="auto"/>
            </w:tcBorders>
            <w:shd w:val="clear" w:color="auto" w:fill="auto"/>
            <w:noWrap/>
            <w:vAlign w:val="center"/>
            <w:hideMark/>
          </w:tcPr>
          <w:p w14:paraId="7AC53AFA"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08:09:27</w:t>
            </w:r>
          </w:p>
        </w:tc>
        <w:tc>
          <w:tcPr>
            <w:tcW w:w="1446" w:type="dxa"/>
            <w:vMerge w:val="restart"/>
            <w:tcBorders>
              <w:top w:val="nil"/>
              <w:left w:val="single" w:sz="4" w:space="0" w:color="auto"/>
              <w:bottom w:val="single" w:sz="4" w:space="0" w:color="auto"/>
              <w:right w:val="single" w:sz="4" w:space="0" w:color="auto"/>
            </w:tcBorders>
            <w:shd w:val="clear" w:color="auto" w:fill="auto"/>
            <w:vAlign w:val="center"/>
            <w:hideMark/>
          </w:tcPr>
          <w:p w14:paraId="7B7488F2" w14:textId="77777777" w:rsidR="0010654D" w:rsidRPr="008955C2" w:rsidRDefault="0010654D" w:rsidP="0010654D">
            <w:pPr>
              <w:spacing w:after="0"/>
              <w:jc w:val="center"/>
              <w:rPr>
                <w:rFonts w:ascii="Times New Roman" w:eastAsia="Times New Roman" w:hAnsi="Times New Roman" w:cs="Times New Roman"/>
                <w:color w:val="000000"/>
                <w:sz w:val="24"/>
                <w:szCs w:val="24"/>
              </w:rPr>
            </w:pPr>
            <w:r w:rsidRPr="008955C2">
              <w:rPr>
                <w:rFonts w:ascii="Times New Roman" w:eastAsia="Times New Roman" w:hAnsi="Times New Roman" w:cs="Times New Roman"/>
                <w:color w:val="000000"/>
                <w:sz w:val="24"/>
                <w:szCs w:val="24"/>
              </w:rPr>
              <w:t>Both</w:t>
            </w:r>
          </w:p>
        </w:tc>
      </w:tr>
      <w:tr w:rsidR="0010654D" w:rsidRPr="00A9626D" w14:paraId="587E29D2" w14:textId="77777777" w:rsidTr="0010654D">
        <w:trPr>
          <w:trHeight w:val="288"/>
        </w:trPr>
        <w:tc>
          <w:tcPr>
            <w:tcW w:w="13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8B6E683" w14:textId="77777777" w:rsidR="0010654D" w:rsidRPr="008955C2" w:rsidRDefault="0010654D" w:rsidP="0010654D">
            <w:pPr>
              <w:spacing w:after="0"/>
              <w:rPr>
                <w:rFonts w:ascii="Times New Roman" w:eastAsia="Times New Roman" w:hAnsi="Times New Roman" w:cs="Times New Roman"/>
                <w:b/>
                <w:bCs/>
                <w:color w:val="000000"/>
                <w:sz w:val="24"/>
                <w:szCs w:val="24"/>
              </w:rPr>
            </w:pPr>
          </w:p>
        </w:tc>
        <w:tc>
          <w:tcPr>
            <w:tcW w:w="1419" w:type="dxa"/>
            <w:vMerge/>
            <w:tcBorders>
              <w:top w:val="nil"/>
              <w:left w:val="single" w:sz="4" w:space="0" w:color="auto"/>
              <w:bottom w:val="single" w:sz="4" w:space="0" w:color="auto"/>
              <w:right w:val="single" w:sz="4" w:space="0" w:color="auto"/>
            </w:tcBorders>
            <w:vAlign w:val="center"/>
            <w:hideMark/>
          </w:tcPr>
          <w:p w14:paraId="5BB5FC2A"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vMerge/>
            <w:tcBorders>
              <w:top w:val="nil"/>
              <w:left w:val="single" w:sz="4" w:space="0" w:color="auto"/>
              <w:bottom w:val="single" w:sz="4" w:space="0" w:color="auto"/>
              <w:right w:val="single" w:sz="4" w:space="0" w:color="auto"/>
            </w:tcBorders>
            <w:vAlign w:val="center"/>
            <w:hideMark/>
          </w:tcPr>
          <w:p w14:paraId="6F97C985"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tcBorders>
              <w:top w:val="nil"/>
              <w:left w:val="nil"/>
              <w:bottom w:val="single" w:sz="4" w:space="0" w:color="auto"/>
              <w:right w:val="single" w:sz="4" w:space="0" w:color="auto"/>
            </w:tcBorders>
            <w:shd w:val="clear" w:color="auto" w:fill="auto"/>
            <w:noWrap/>
            <w:vAlign w:val="center"/>
            <w:hideMark/>
          </w:tcPr>
          <w:p w14:paraId="2D1AF398"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08:14:08</w:t>
            </w:r>
          </w:p>
        </w:tc>
        <w:tc>
          <w:tcPr>
            <w:tcW w:w="1106" w:type="dxa"/>
            <w:tcBorders>
              <w:top w:val="nil"/>
              <w:left w:val="nil"/>
              <w:bottom w:val="single" w:sz="4" w:space="0" w:color="auto"/>
              <w:right w:val="single" w:sz="4" w:space="0" w:color="auto"/>
            </w:tcBorders>
            <w:shd w:val="clear" w:color="auto" w:fill="auto"/>
            <w:noWrap/>
            <w:vAlign w:val="center"/>
            <w:hideMark/>
          </w:tcPr>
          <w:p w14:paraId="7DFFE6DB"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08:22:47</w:t>
            </w:r>
          </w:p>
        </w:tc>
        <w:tc>
          <w:tcPr>
            <w:tcW w:w="1106" w:type="dxa"/>
            <w:tcBorders>
              <w:top w:val="nil"/>
              <w:left w:val="nil"/>
              <w:bottom w:val="single" w:sz="4" w:space="0" w:color="auto"/>
              <w:right w:val="single" w:sz="4" w:space="0" w:color="auto"/>
            </w:tcBorders>
            <w:shd w:val="clear" w:color="auto" w:fill="auto"/>
            <w:noWrap/>
            <w:vAlign w:val="center"/>
            <w:hideMark/>
          </w:tcPr>
          <w:p w14:paraId="5D485B30"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08:23:54</w:t>
            </w:r>
          </w:p>
        </w:tc>
        <w:tc>
          <w:tcPr>
            <w:tcW w:w="1106" w:type="dxa"/>
            <w:tcBorders>
              <w:top w:val="nil"/>
              <w:left w:val="nil"/>
              <w:bottom w:val="single" w:sz="4" w:space="0" w:color="auto"/>
              <w:right w:val="single" w:sz="4" w:space="0" w:color="auto"/>
            </w:tcBorders>
            <w:shd w:val="clear" w:color="auto" w:fill="auto"/>
            <w:noWrap/>
            <w:vAlign w:val="center"/>
            <w:hideMark/>
          </w:tcPr>
          <w:p w14:paraId="3BDF358D"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08:25:30</w:t>
            </w:r>
          </w:p>
        </w:tc>
        <w:tc>
          <w:tcPr>
            <w:tcW w:w="1446" w:type="dxa"/>
            <w:vMerge/>
            <w:tcBorders>
              <w:top w:val="nil"/>
              <w:left w:val="single" w:sz="4" w:space="0" w:color="auto"/>
              <w:bottom w:val="single" w:sz="4" w:space="0" w:color="auto"/>
              <w:right w:val="single" w:sz="4" w:space="0" w:color="auto"/>
            </w:tcBorders>
            <w:vAlign w:val="center"/>
            <w:hideMark/>
          </w:tcPr>
          <w:p w14:paraId="7D163863" w14:textId="77777777" w:rsidR="0010654D" w:rsidRPr="00A9626D" w:rsidRDefault="0010654D" w:rsidP="0010654D">
            <w:pPr>
              <w:spacing w:after="0"/>
              <w:rPr>
                <w:rFonts w:ascii="Calibri" w:eastAsia="Times New Roman" w:hAnsi="Calibri" w:cs="Calibri"/>
                <w:color w:val="000000"/>
              </w:rPr>
            </w:pPr>
          </w:p>
        </w:tc>
      </w:tr>
      <w:tr w:rsidR="0010654D" w:rsidRPr="00A9626D" w14:paraId="76D0D9D7" w14:textId="77777777" w:rsidTr="0010654D">
        <w:trPr>
          <w:trHeight w:val="288"/>
        </w:trPr>
        <w:tc>
          <w:tcPr>
            <w:tcW w:w="13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B1740DE" w14:textId="77777777" w:rsidR="0010654D" w:rsidRPr="008955C2" w:rsidRDefault="0010654D" w:rsidP="0010654D">
            <w:pPr>
              <w:spacing w:after="0"/>
              <w:rPr>
                <w:rFonts w:ascii="Times New Roman" w:eastAsia="Times New Roman" w:hAnsi="Times New Roman" w:cs="Times New Roman"/>
                <w:b/>
                <w:bCs/>
                <w:color w:val="000000"/>
                <w:sz w:val="24"/>
                <w:szCs w:val="24"/>
              </w:rPr>
            </w:pPr>
          </w:p>
        </w:tc>
        <w:tc>
          <w:tcPr>
            <w:tcW w:w="1419" w:type="dxa"/>
            <w:vMerge/>
            <w:tcBorders>
              <w:top w:val="nil"/>
              <w:left w:val="single" w:sz="4" w:space="0" w:color="auto"/>
              <w:bottom w:val="single" w:sz="4" w:space="0" w:color="auto"/>
              <w:right w:val="single" w:sz="4" w:space="0" w:color="auto"/>
            </w:tcBorders>
            <w:vAlign w:val="center"/>
            <w:hideMark/>
          </w:tcPr>
          <w:p w14:paraId="46206DD9"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vMerge/>
            <w:tcBorders>
              <w:top w:val="nil"/>
              <w:left w:val="single" w:sz="4" w:space="0" w:color="auto"/>
              <w:bottom w:val="single" w:sz="4" w:space="0" w:color="auto"/>
              <w:right w:val="single" w:sz="4" w:space="0" w:color="auto"/>
            </w:tcBorders>
            <w:vAlign w:val="center"/>
            <w:hideMark/>
          </w:tcPr>
          <w:p w14:paraId="6522F891" w14:textId="77777777" w:rsidR="0010654D" w:rsidRPr="008955C2" w:rsidRDefault="0010654D" w:rsidP="0010654D">
            <w:pPr>
              <w:spacing w:after="0"/>
              <w:rPr>
                <w:rFonts w:ascii="Times New Roman" w:eastAsia="Times New Roman" w:hAnsi="Times New Roman" w:cs="Times New Roman"/>
                <w:color w:val="000000"/>
                <w:sz w:val="24"/>
                <w:szCs w:val="24"/>
              </w:rPr>
            </w:pPr>
          </w:p>
        </w:tc>
        <w:tc>
          <w:tcPr>
            <w:tcW w:w="1106" w:type="dxa"/>
            <w:tcBorders>
              <w:top w:val="nil"/>
              <w:left w:val="nil"/>
              <w:bottom w:val="single" w:sz="4" w:space="0" w:color="auto"/>
              <w:right w:val="single" w:sz="4" w:space="0" w:color="auto"/>
            </w:tcBorders>
            <w:shd w:val="clear" w:color="auto" w:fill="auto"/>
            <w:noWrap/>
            <w:vAlign w:val="center"/>
            <w:hideMark/>
          </w:tcPr>
          <w:p w14:paraId="09A6D19C"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08:39:42</w:t>
            </w:r>
          </w:p>
        </w:tc>
        <w:tc>
          <w:tcPr>
            <w:tcW w:w="1106" w:type="dxa"/>
            <w:tcBorders>
              <w:top w:val="nil"/>
              <w:left w:val="nil"/>
              <w:bottom w:val="single" w:sz="4" w:space="0" w:color="auto"/>
              <w:right w:val="single" w:sz="4" w:space="0" w:color="auto"/>
            </w:tcBorders>
            <w:shd w:val="clear" w:color="auto" w:fill="auto"/>
            <w:noWrap/>
            <w:vAlign w:val="center"/>
            <w:hideMark/>
          </w:tcPr>
          <w:p w14:paraId="5FC3F59B"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08:42:48</w:t>
            </w:r>
          </w:p>
        </w:tc>
        <w:tc>
          <w:tcPr>
            <w:tcW w:w="1106" w:type="dxa"/>
            <w:tcBorders>
              <w:top w:val="nil"/>
              <w:left w:val="nil"/>
              <w:bottom w:val="single" w:sz="4" w:space="0" w:color="auto"/>
              <w:right w:val="single" w:sz="4" w:space="0" w:color="auto"/>
            </w:tcBorders>
            <w:shd w:val="clear" w:color="auto" w:fill="auto"/>
            <w:noWrap/>
            <w:vAlign w:val="center"/>
            <w:hideMark/>
          </w:tcPr>
          <w:p w14:paraId="7BB23464"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08:44:01</w:t>
            </w:r>
          </w:p>
        </w:tc>
        <w:tc>
          <w:tcPr>
            <w:tcW w:w="1106" w:type="dxa"/>
            <w:tcBorders>
              <w:top w:val="nil"/>
              <w:left w:val="nil"/>
              <w:bottom w:val="single" w:sz="4" w:space="0" w:color="auto"/>
              <w:right w:val="single" w:sz="4" w:space="0" w:color="auto"/>
            </w:tcBorders>
            <w:shd w:val="clear" w:color="auto" w:fill="auto"/>
            <w:noWrap/>
            <w:vAlign w:val="center"/>
            <w:hideMark/>
          </w:tcPr>
          <w:p w14:paraId="7E90CE8B" w14:textId="77777777" w:rsidR="0010654D" w:rsidRPr="001E6CCF" w:rsidRDefault="0010654D" w:rsidP="0010654D">
            <w:pPr>
              <w:spacing w:after="0"/>
              <w:jc w:val="center"/>
              <w:rPr>
                <w:rFonts w:ascii="Times New Roman" w:eastAsia="Times New Roman" w:hAnsi="Times New Roman" w:cs="Times New Roman"/>
                <w:color w:val="000000"/>
              </w:rPr>
            </w:pPr>
            <w:r w:rsidRPr="001E6CCF">
              <w:rPr>
                <w:rFonts w:ascii="Times New Roman" w:eastAsia="Times New Roman" w:hAnsi="Times New Roman" w:cs="Times New Roman"/>
                <w:color w:val="000000"/>
              </w:rPr>
              <w:t>08:47:31</w:t>
            </w:r>
          </w:p>
        </w:tc>
        <w:tc>
          <w:tcPr>
            <w:tcW w:w="1446" w:type="dxa"/>
            <w:vMerge/>
            <w:tcBorders>
              <w:top w:val="nil"/>
              <w:left w:val="single" w:sz="4" w:space="0" w:color="auto"/>
              <w:bottom w:val="single" w:sz="4" w:space="0" w:color="auto"/>
              <w:right w:val="single" w:sz="4" w:space="0" w:color="auto"/>
            </w:tcBorders>
            <w:vAlign w:val="center"/>
            <w:hideMark/>
          </w:tcPr>
          <w:p w14:paraId="1450B232" w14:textId="77777777" w:rsidR="0010654D" w:rsidRPr="00A9626D" w:rsidRDefault="0010654D" w:rsidP="0010654D">
            <w:pPr>
              <w:spacing w:after="0"/>
              <w:rPr>
                <w:rFonts w:ascii="Calibri" w:eastAsia="Times New Roman" w:hAnsi="Calibri" w:cs="Calibri"/>
                <w:color w:val="000000"/>
              </w:rPr>
            </w:pPr>
          </w:p>
        </w:tc>
      </w:tr>
    </w:tbl>
    <w:bookmarkEnd w:id="100"/>
    <w:p w14:paraId="56E2FD98" w14:textId="21F083CC" w:rsidR="008955C2" w:rsidRPr="002908F5" w:rsidRDefault="008955C2" w:rsidP="003A7E1B">
      <w:pPr>
        <w:pStyle w:val="Heading3"/>
      </w:pPr>
      <w:r w:rsidRPr="002908F5">
        <w:t>March 7th 2023</w:t>
      </w:r>
      <w:bookmarkEnd w:id="101"/>
    </w:p>
    <w:p w14:paraId="5D2785B6" w14:textId="3EDBA561" w:rsidR="008955C2" w:rsidRPr="00392460" w:rsidRDefault="008955C2" w:rsidP="00156C37">
      <w:pPr>
        <w:pStyle w:val="TextFormat"/>
      </w:pPr>
      <w:r>
        <w:t>Strong surface high pressure and ridging aloft dictated weather conditions on March 7</w:t>
      </w:r>
      <w:r w:rsidRPr="0026011D">
        <w:rPr>
          <w:vertAlign w:val="superscript"/>
        </w:rPr>
        <w:t>th</w:t>
      </w:r>
      <w:r>
        <w:t xml:space="preserve">, 2023. As such, clear skies and high visibilities produced good conditions for the first clear-air test flight of the UAS platform during the afternoon and early evening. Instrumentation on the tripod and UAV platform were operational for the flight mission. Surface temperatures were reported -11 °C by the tripod and just shy of -9.5 °C by the drone instrumentation upon UAV power </w:t>
      </w:r>
      <w:r w:rsidRPr="00B9660E">
        <w:t xml:space="preserve">activation </w:t>
      </w:r>
      <w:r>
        <w:t xml:space="preserve">at 17:56:30 </w:t>
      </w:r>
      <w:r w:rsidRPr="00E636D3">
        <w:t xml:space="preserve">CST </w:t>
      </w:r>
      <w:r w:rsidR="007E13B7">
        <w:t>(</w:t>
      </w:r>
      <w:r w:rsidR="00901BC8">
        <w:fldChar w:fldCharType="begin"/>
      </w:r>
      <w:r w:rsidR="00901BC8">
        <w:instrText xml:space="preserve"> REF _Ref150823081 \h </w:instrText>
      </w:r>
      <w:r w:rsidR="00901BC8">
        <w:fldChar w:fldCharType="separate"/>
      </w:r>
      <w:r w:rsidR="0010654D">
        <w:t xml:space="preserve">Figure </w:t>
      </w:r>
      <w:r w:rsidR="0010654D">
        <w:rPr>
          <w:noProof/>
        </w:rPr>
        <w:t>16</w:t>
      </w:r>
      <w:r w:rsidR="00901BC8">
        <w:fldChar w:fldCharType="end"/>
      </w:r>
      <w:r w:rsidRPr="00E636D3">
        <w:t>). Moisture</w:t>
      </w:r>
      <w:r>
        <w:t xml:space="preserve"> was slowly increasing throughout the day, with relative humidities of both platforms reporting 64 percent upon mission start. UAV power activation occurred at 17:56:30 CST. Initial warmup and calibration procedures occurred for the first two minutes. One ascent-descent vertical profile was successfully implemented from 17:59:48 CST to 18:</w:t>
      </w:r>
      <w:r w:rsidRPr="00B9660E">
        <w:t>02:</w:t>
      </w:r>
      <w:r w:rsidRPr="00E636D3">
        <w:t>54 CST. The ascent</w:t>
      </w:r>
      <w:r>
        <w:t xml:space="preserve"> profile started at 100 feet AGL, climbed to a maximum altitude of 400 feet AGL, and descended to 75 feet AGL. </w:t>
      </w:r>
      <w:r w:rsidRPr="00B9660E">
        <w:t>The</w:t>
      </w:r>
      <w:r>
        <w:t xml:space="preserve"> UAV was powered down </w:t>
      </w:r>
      <w:r w:rsidRPr="00392460">
        <w:t xml:space="preserve">shortly thereafter at 18:04:01 CST, resulting in a total mission length of 7 minutes and 32 seconds. </w:t>
      </w:r>
    </w:p>
    <w:p w14:paraId="50417A9F" w14:textId="6FE9B904" w:rsidR="008955C2" w:rsidRDefault="008955C2" w:rsidP="00156C37">
      <w:pPr>
        <w:pStyle w:val="TextFormat"/>
        <w:rPr>
          <w:rFonts w:eastAsiaTheme="minorEastAsia"/>
        </w:rPr>
      </w:pPr>
      <w:r w:rsidRPr="00392460">
        <w:lastRenderedPageBreak/>
        <w:t xml:space="preserve">The lower atmosphere was largely isothermal during the vertical profile maneuver, as indicated by near constant temperature and dew points of </w:t>
      </w:r>
      <w:r w:rsidRPr="00392460">
        <w:rPr>
          <w:rFonts w:eastAsiaTheme="minorEastAsia"/>
        </w:rPr>
        <w:t xml:space="preserve">-10 °C and -15.5 °C </w:t>
      </w:r>
      <w:r w:rsidRPr="00E636D3">
        <w:rPr>
          <w:rFonts w:eastAsiaTheme="minorEastAsia"/>
        </w:rPr>
        <w:t xml:space="preserve">respectively </w:t>
      </w:r>
      <w:r w:rsidR="00E636D3" w:rsidRPr="00E636D3">
        <w:rPr>
          <w:rFonts w:eastAsiaTheme="minorEastAsia"/>
        </w:rPr>
        <w:t>(</w:t>
      </w:r>
      <w:r w:rsidR="00E74403">
        <w:fldChar w:fldCharType="begin"/>
      </w:r>
      <w:r w:rsidR="00E74403">
        <w:rPr>
          <w:rFonts w:eastAsiaTheme="minorEastAsia"/>
        </w:rPr>
        <w:instrText xml:space="preserve"> REF _Ref150823106 \h </w:instrText>
      </w:r>
      <w:r w:rsidR="00E74403">
        <w:fldChar w:fldCharType="separate"/>
      </w:r>
      <w:r w:rsidR="0010654D">
        <w:t xml:space="preserve">Figure </w:t>
      </w:r>
      <w:r w:rsidR="0010654D">
        <w:rPr>
          <w:noProof/>
        </w:rPr>
        <w:t>18</w:t>
      </w:r>
      <w:r w:rsidR="00E74403">
        <w:fldChar w:fldCharType="end"/>
      </w:r>
      <w:r w:rsidRPr="00E636D3">
        <w:t>)</w:t>
      </w:r>
      <w:r w:rsidRPr="00E636D3">
        <w:rPr>
          <w:rFonts w:eastAsiaTheme="minorEastAsia"/>
        </w:rPr>
        <w:t>. Above 250-meters</w:t>
      </w:r>
      <w:r w:rsidRPr="00392460">
        <w:rPr>
          <w:rFonts w:eastAsiaTheme="minorEastAsia"/>
        </w:rPr>
        <w:t xml:space="preserve"> AGL, temperatures rapidly fluctuated between -9 °C and -10 °C while relative humidities</w:t>
      </w:r>
      <w:r w:rsidR="00E337FD">
        <w:rPr>
          <w:rFonts w:eastAsiaTheme="minorEastAsia"/>
        </w:rPr>
        <w:t xml:space="preserve"> (with respect to water)</w:t>
      </w:r>
      <w:r w:rsidRPr="00392460">
        <w:rPr>
          <w:rFonts w:eastAsiaTheme="minorEastAsia"/>
        </w:rPr>
        <w:t xml:space="preserve"> dropped below 60 percent. Both the ascent and descent profiles </w:t>
      </w:r>
      <w:r w:rsidR="00DA7DBD">
        <w:rPr>
          <w:rFonts w:eastAsiaTheme="minorEastAsia"/>
        </w:rPr>
        <w:t>are</w:t>
      </w:r>
      <w:r w:rsidRPr="00392460">
        <w:rPr>
          <w:rFonts w:eastAsiaTheme="minorEastAsia"/>
        </w:rPr>
        <w:t xml:space="preserve"> in good agreement. A downward shift in the descent profile relative to the ascent is noticeable in both the temperature and relative humidity measurements. Visibilities throughout the vertical profiling reported the maximum 4000 meters, further indication of clear-air conditions.</w:t>
      </w:r>
    </w:p>
    <w:p w14:paraId="37218C00" w14:textId="77777777" w:rsidR="00977A75" w:rsidRDefault="00977A75" w:rsidP="00977A75">
      <w:pPr>
        <w:pStyle w:val="Figure"/>
        <w:keepNext/>
      </w:pPr>
      <w:r w:rsidRPr="00205D69">
        <w:drawing>
          <wp:inline distT="0" distB="0" distL="0" distR="0" wp14:anchorId="0807C3F1" wp14:editId="6F9BB9F7">
            <wp:extent cx="5943600" cy="3954145"/>
            <wp:effectExtent l="0" t="0" r="0" b="8255"/>
            <wp:docPr id="18272931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29317" name="Picture 1" descr="A screenshot of a graph&#10;&#10;Description automatically generated"/>
                    <pic:cNvPicPr/>
                  </pic:nvPicPr>
                  <pic:blipFill>
                    <a:blip r:embed="rId27"/>
                    <a:stretch>
                      <a:fillRect/>
                    </a:stretch>
                  </pic:blipFill>
                  <pic:spPr>
                    <a:xfrm>
                      <a:off x="0" y="0"/>
                      <a:ext cx="5943600" cy="3954145"/>
                    </a:xfrm>
                    <a:prstGeom prst="rect">
                      <a:avLst/>
                    </a:prstGeom>
                  </pic:spPr>
                </pic:pic>
              </a:graphicData>
            </a:graphic>
          </wp:inline>
        </w:drawing>
      </w:r>
    </w:p>
    <w:p w14:paraId="67674D51" w14:textId="6E873E7B" w:rsidR="00977A75" w:rsidRDefault="00977A75" w:rsidP="00E74403">
      <w:pPr>
        <w:pStyle w:val="FigureCaption"/>
      </w:pPr>
      <w:bookmarkStart w:id="102" w:name="_Ref150823081"/>
      <w:bookmarkStart w:id="103" w:name="_Toc152692045"/>
      <w:r>
        <w:t xml:space="preserve">Figure </w:t>
      </w:r>
      <w:r w:rsidR="005858A3">
        <w:fldChar w:fldCharType="begin"/>
      </w:r>
      <w:r w:rsidR="005858A3">
        <w:instrText xml:space="preserve"> SEQ Figure \* ARABIC </w:instrText>
      </w:r>
      <w:r w:rsidR="005858A3">
        <w:fldChar w:fldCharType="separate"/>
      </w:r>
      <w:r w:rsidR="00E337FD">
        <w:rPr>
          <w:noProof/>
        </w:rPr>
        <w:t>16</w:t>
      </w:r>
      <w:r w:rsidR="005858A3">
        <w:rPr>
          <w:noProof/>
        </w:rPr>
        <w:fldChar w:fldCharType="end"/>
      </w:r>
      <w:bookmarkStart w:id="104" w:name="_Toc150698156"/>
      <w:bookmarkStart w:id="105" w:name="_Toc150818417"/>
      <w:bookmarkEnd w:id="102"/>
      <w:r>
        <w:t>.</w:t>
      </w:r>
      <w:r w:rsidRPr="00331648">
        <w:t xml:space="preserve"> </w:t>
      </w:r>
      <w:r>
        <w:t>A panel of t</w:t>
      </w:r>
      <w:r w:rsidRPr="00331648">
        <w:t xml:space="preserve">ripod </w:t>
      </w:r>
      <w:r>
        <w:t xml:space="preserve">visibility (green), </w:t>
      </w:r>
      <w:r w:rsidRPr="00331648">
        <w:t>temperature</w:t>
      </w:r>
      <w:r>
        <w:t xml:space="preserve"> (blue), and wind speed (purple)</w:t>
      </w:r>
      <w:r w:rsidRPr="00331648">
        <w:t xml:space="preserve"> time series plots </w:t>
      </w:r>
      <w:r>
        <w:t xml:space="preserve">recorded by the IMet-XQ2 </w:t>
      </w:r>
      <w:r w:rsidRPr="00331648">
        <w:t>on March 7</w:t>
      </w:r>
      <w:r w:rsidRPr="00331648">
        <w:rPr>
          <w:vertAlign w:val="superscript"/>
        </w:rPr>
        <w:t>th</w:t>
      </w:r>
      <w:r w:rsidRPr="00331648">
        <w:t>, 202</w:t>
      </w:r>
      <w:r>
        <w:t xml:space="preserve">3. Data is </w:t>
      </w:r>
      <w:r w:rsidRPr="00331648">
        <w:t>visualized through the Grafana open-source software dashboards.</w:t>
      </w:r>
      <w:r>
        <w:t xml:space="preserve"> The gray shaded area in the visibility plot represents the 1 km threshold for visibility reductions designated as fog. </w:t>
      </w:r>
      <w:r w:rsidRPr="00331648">
        <w:t>All times are reported in central standard time (CST). The March 7</w:t>
      </w:r>
      <w:r w:rsidRPr="00331648">
        <w:rPr>
          <w:vertAlign w:val="superscript"/>
        </w:rPr>
        <w:t>th</w:t>
      </w:r>
      <w:r w:rsidRPr="00331648">
        <w:t xml:space="preserve"> UAV mission occurred between 17:56 CST and 18:04 CST.</w:t>
      </w:r>
      <w:bookmarkStart w:id="106" w:name="_Ref150780648"/>
      <w:bookmarkStart w:id="107" w:name="_Toc150818418"/>
      <w:bookmarkStart w:id="108" w:name="_Ref150258269"/>
      <w:bookmarkStart w:id="109" w:name="_Toc150698157"/>
      <w:bookmarkStart w:id="110" w:name="_Ref150202352"/>
      <w:bookmarkEnd w:id="104"/>
      <w:bookmarkEnd w:id="105"/>
      <w:bookmarkEnd w:id="103"/>
    </w:p>
    <w:p w14:paraId="212F16B4" w14:textId="77777777" w:rsidR="004B5C0B" w:rsidRDefault="004B5C0B" w:rsidP="004B5C0B">
      <w:pPr>
        <w:pStyle w:val="Figure"/>
        <w:keepNext/>
      </w:pPr>
      <w:r>
        <w:lastRenderedPageBreak/>
        <w:drawing>
          <wp:inline distT="0" distB="0" distL="0" distR="0" wp14:anchorId="549C63A9" wp14:editId="40C70AF9">
            <wp:extent cx="5943600" cy="3949065"/>
            <wp:effectExtent l="0" t="0" r="0" b="0"/>
            <wp:docPr id="139963847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38472" name="Picture 1" descr="A graph of a graph&#10;&#10;Description automatically generated with medium confidence"/>
                    <pic:cNvPicPr/>
                  </pic:nvPicPr>
                  <pic:blipFill>
                    <a:blip r:embed="rId28"/>
                    <a:stretch>
                      <a:fillRect/>
                    </a:stretch>
                  </pic:blipFill>
                  <pic:spPr>
                    <a:xfrm>
                      <a:off x="0" y="0"/>
                      <a:ext cx="5943600" cy="3949065"/>
                    </a:xfrm>
                    <a:prstGeom prst="rect">
                      <a:avLst/>
                    </a:prstGeom>
                  </pic:spPr>
                </pic:pic>
              </a:graphicData>
            </a:graphic>
          </wp:inline>
        </w:drawing>
      </w:r>
    </w:p>
    <w:p w14:paraId="32790806" w14:textId="5F87886F" w:rsidR="004B5C0B" w:rsidRDefault="004B5C0B" w:rsidP="004B5C0B">
      <w:pPr>
        <w:pStyle w:val="FigureCaption"/>
        <w:rPr>
          <w:i w:val="0"/>
          <w:iCs w:val="0"/>
        </w:rPr>
      </w:pPr>
      <w:bookmarkStart w:id="111" w:name="_Ref152692579"/>
      <w:bookmarkStart w:id="112" w:name="_Toc152692046"/>
      <w:r>
        <w:t xml:space="preserve">Figure </w:t>
      </w:r>
      <w:r w:rsidR="00F208F0">
        <w:fldChar w:fldCharType="begin"/>
      </w:r>
      <w:r w:rsidR="00F208F0">
        <w:instrText xml:space="preserve"> SEQ Figure \* ARABIC </w:instrText>
      </w:r>
      <w:r w:rsidR="00F208F0">
        <w:fldChar w:fldCharType="separate"/>
      </w:r>
      <w:r w:rsidR="00E337FD">
        <w:rPr>
          <w:noProof/>
        </w:rPr>
        <w:t>17</w:t>
      </w:r>
      <w:r w:rsidR="00F208F0">
        <w:rPr>
          <w:noProof/>
        </w:rPr>
        <w:fldChar w:fldCharType="end"/>
      </w:r>
      <w:bookmarkEnd w:id="111"/>
      <w:r w:rsidRPr="006E5EC3">
        <w:t xml:space="preserve">. </w:t>
      </w:r>
      <w:r>
        <w:t xml:space="preserve">A panel of plots representing </w:t>
      </w:r>
      <w:r w:rsidRPr="006E5EC3">
        <w:t>UAV altitude (black), temperature (red), and relative humidity (blue dotted) measurements during the March 7</w:t>
      </w:r>
      <w:r w:rsidRPr="006E5EC3">
        <w:rPr>
          <w:vertAlign w:val="superscript"/>
        </w:rPr>
        <w:t>th</w:t>
      </w:r>
      <w:r w:rsidRPr="006E5EC3">
        <w:t xml:space="preserve">, 2023 flight mission. Vertical black </w:t>
      </w:r>
      <w:r>
        <w:t>d</w:t>
      </w:r>
      <w:r w:rsidRPr="006E5EC3">
        <w:t>ashed lines indicate the start (17:59:48 CST) and end (18:02:54 CST) times for the vertical profile maneuver.</w:t>
      </w:r>
      <w:bookmarkEnd w:id="112"/>
    </w:p>
    <w:bookmarkEnd w:id="106"/>
    <w:bookmarkEnd w:id="107"/>
    <w:bookmarkEnd w:id="108"/>
    <w:bookmarkEnd w:id="109"/>
    <w:p w14:paraId="6BD87E61" w14:textId="77777777" w:rsidR="00E74403" w:rsidRDefault="00E74403" w:rsidP="00E74403">
      <w:pPr>
        <w:pStyle w:val="Figure"/>
      </w:pPr>
      <w:r w:rsidRPr="00E74403">
        <w:lastRenderedPageBreak/>
        <w:drawing>
          <wp:inline distT="0" distB="0" distL="0" distR="0" wp14:anchorId="7CF1E1FF" wp14:editId="17A72DAF">
            <wp:extent cx="5943600" cy="4015740"/>
            <wp:effectExtent l="0" t="0" r="0" b="3810"/>
            <wp:docPr id="1743408436" name="Picture 1" descr="A graph showing the temperatur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08436" name="Picture 1" descr="A graph showing the temperature of a person&#10;&#10;Description automatically generated"/>
                    <pic:cNvPicPr/>
                  </pic:nvPicPr>
                  <pic:blipFill>
                    <a:blip r:embed="rId29"/>
                    <a:stretch>
                      <a:fillRect/>
                    </a:stretch>
                  </pic:blipFill>
                  <pic:spPr>
                    <a:xfrm>
                      <a:off x="0" y="0"/>
                      <a:ext cx="5943600" cy="4015740"/>
                    </a:xfrm>
                    <a:prstGeom prst="rect">
                      <a:avLst/>
                    </a:prstGeom>
                  </pic:spPr>
                </pic:pic>
              </a:graphicData>
            </a:graphic>
          </wp:inline>
        </w:drawing>
      </w:r>
    </w:p>
    <w:p w14:paraId="0D5087D1" w14:textId="29A5773E" w:rsidR="00E74403" w:rsidRPr="00E74403" w:rsidRDefault="00E74403" w:rsidP="00E74403">
      <w:pPr>
        <w:pStyle w:val="FigureCaption"/>
      </w:pPr>
      <w:bookmarkStart w:id="113" w:name="_Ref150823106"/>
      <w:bookmarkStart w:id="114" w:name="_Toc152692047"/>
      <w:r>
        <w:t xml:space="preserve">Figure </w:t>
      </w:r>
      <w:r w:rsidR="005858A3">
        <w:fldChar w:fldCharType="begin"/>
      </w:r>
      <w:r w:rsidR="005858A3">
        <w:instrText xml:space="preserve"> SEQ Figure \* ARABIC </w:instrText>
      </w:r>
      <w:r w:rsidR="005858A3">
        <w:fldChar w:fldCharType="separate"/>
      </w:r>
      <w:r w:rsidR="00E337FD">
        <w:rPr>
          <w:noProof/>
        </w:rPr>
        <w:t>18</w:t>
      </w:r>
      <w:r w:rsidR="005858A3">
        <w:rPr>
          <w:noProof/>
        </w:rPr>
        <w:fldChar w:fldCharType="end"/>
      </w:r>
      <w:bookmarkStart w:id="115" w:name="_Toc150698158"/>
      <w:bookmarkStart w:id="116" w:name="_Toc150818419"/>
      <w:bookmarkEnd w:id="113"/>
      <w:r w:rsidRPr="00331648">
        <w:t xml:space="preserve">. </w:t>
      </w:r>
      <w:r>
        <w:t>A panel of plots representing t</w:t>
      </w:r>
      <w:r w:rsidRPr="00331648">
        <w:t>emperature (red), dew point (purple), relative humidity (blue), and visibility (gray) during the March 7</w:t>
      </w:r>
      <w:r>
        <w:rPr>
          <w:vertAlign w:val="superscript"/>
        </w:rPr>
        <w:t>th</w:t>
      </w:r>
      <w:r>
        <w:t xml:space="preserve">, </w:t>
      </w:r>
      <w:r w:rsidRPr="00331648">
        <w:t>2023 vertical profiling maneuver between 17:59:48 CST and 18:02:54 CST. The ascent profil</w:t>
      </w:r>
      <w:r>
        <w:t>ing</w:t>
      </w:r>
      <w:r w:rsidRPr="00331648">
        <w:t xml:space="preserve"> </w:t>
      </w:r>
      <w:r>
        <w:t>is</w:t>
      </w:r>
      <w:r w:rsidRPr="00331648">
        <w:t xml:space="preserve"> represented as solid colors and the descent </w:t>
      </w:r>
      <w:r>
        <w:t>profiling</w:t>
      </w:r>
      <w:r w:rsidRPr="00331648">
        <w:t xml:space="preserve"> represented as dashed colors.</w:t>
      </w:r>
      <w:bookmarkEnd w:id="115"/>
      <w:bookmarkEnd w:id="116"/>
      <w:bookmarkEnd w:id="114"/>
    </w:p>
    <w:p w14:paraId="712A61F6" w14:textId="77777777" w:rsidR="008955C2" w:rsidRDefault="008955C2" w:rsidP="003A7E1B">
      <w:pPr>
        <w:pStyle w:val="Heading3"/>
      </w:pPr>
      <w:bookmarkStart w:id="117" w:name="_Toc152692023"/>
      <w:bookmarkEnd w:id="110"/>
      <w:r>
        <w:t>March 13</w:t>
      </w:r>
      <w:r w:rsidRPr="001E0235">
        <w:rPr>
          <w:vertAlign w:val="superscript"/>
        </w:rPr>
        <w:t>th</w:t>
      </w:r>
      <w:r>
        <w:t xml:space="preserve"> 2023</w:t>
      </w:r>
      <w:bookmarkEnd w:id="117"/>
    </w:p>
    <w:p w14:paraId="01FD0B4A" w14:textId="49E0983C" w:rsidR="008955C2" w:rsidRDefault="008955C2" w:rsidP="00156C37">
      <w:pPr>
        <w:pStyle w:val="TextFormat"/>
      </w:pPr>
      <w:r>
        <w:t>A strong surface high pressure stretched from southern Manitoba into the northern Great Plains through the day on March 13</w:t>
      </w:r>
      <w:r w:rsidRPr="00EF2AE1">
        <w:rPr>
          <w:vertAlign w:val="superscript"/>
        </w:rPr>
        <w:t>th</w:t>
      </w:r>
      <w:r>
        <w:t xml:space="preserve">, 2023. Ridging and subsidence aloft induced clear skies and calm surface conditions for a second UAV clear-air test flight. All instrumentation on both platforms was functional at the time of the afternoon mission. UAV power activation occurred at 15:12:47 CST. Two vertical profiling maneuvers occurred between 15:14:26 CST and 15:32:07 CST, immediately followed by an extended hovering period ending at 15:44:45 </w:t>
      </w:r>
      <w:r w:rsidRPr="008609C0">
        <w:t>CST</w:t>
      </w:r>
      <w:r w:rsidR="008609C0" w:rsidRPr="008609C0">
        <w:t xml:space="preserve"> (</w:t>
      </w:r>
      <w:r w:rsidR="004A62CB">
        <w:fldChar w:fldCharType="begin"/>
      </w:r>
      <w:r w:rsidR="004A62CB">
        <w:instrText xml:space="preserve"> REF _Ref152692627 \h </w:instrText>
      </w:r>
      <w:r w:rsidR="004A62CB">
        <w:fldChar w:fldCharType="separate"/>
      </w:r>
      <w:r w:rsidR="004A62CB">
        <w:t xml:space="preserve">Figure </w:t>
      </w:r>
      <w:r w:rsidR="004A62CB">
        <w:rPr>
          <w:noProof/>
        </w:rPr>
        <w:t>19</w:t>
      </w:r>
      <w:r w:rsidR="004A62CB">
        <w:fldChar w:fldCharType="end"/>
      </w:r>
      <w:r w:rsidR="0010654D">
        <w:t xml:space="preserve">). </w:t>
      </w:r>
      <w:r>
        <w:t>Two racetrack maneuvers at 15:48:26 CST – 15:52:18 CST and 15:54:08 CST – 15:55:35 CST were also conducted. The UAV was powered down at 15:57:38 CST, resulting in a total mission length of 44 minutes and 51 seconds.</w:t>
      </w:r>
    </w:p>
    <w:p w14:paraId="63A6BF2B" w14:textId="45FEA5F3" w:rsidR="008955C2" w:rsidRDefault="008955C2" w:rsidP="00156C37">
      <w:pPr>
        <w:pStyle w:val="TextFormat"/>
      </w:pPr>
      <w:r>
        <w:lastRenderedPageBreak/>
        <w:t xml:space="preserve">Winds at the surface were reported light and variable by the tripod; speeds never increasing above 1.6 meters per second for the duration of the </w:t>
      </w:r>
      <w:r w:rsidRPr="00E636D3">
        <w:t>mission</w:t>
      </w:r>
      <w:r w:rsidR="00E636D3" w:rsidRPr="00E636D3">
        <w:t xml:space="preserve"> (</w:t>
      </w:r>
      <w:r w:rsidR="00FE3F01">
        <w:fldChar w:fldCharType="begin"/>
      </w:r>
      <w:r w:rsidR="00FE3F01">
        <w:instrText xml:space="preserve"> REF _Ref150823953 \h </w:instrText>
      </w:r>
      <w:r w:rsidR="00FE3F01">
        <w:fldChar w:fldCharType="separate"/>
      </w:r>
      <w:r w:rsidR="0010654D">
        <w:t xml:space="preserve">Figure </w:t>
      </w:r>
      <w:r w:rsidR="0010654D">
        <w:rPr>
          <w:noProof/>
        </w:rPr>
        <w:t>20</w:t>
      </w:r>
      <w:r w:rsidR="00FE3F01">
        <w:fldChar w:fldCharType="end"/>
      </w:r>
      <w:r w:rsidR="00E636D3" w:rsidRPr="00E636D3">
        <w:t>)</w:t>
      </w:r>
      <w:r w:rsidRPr="00E636D3">
        <w:t>. At mission</w:t>
      </w:r>
      <w:r>
        <w:t xml:space="preserve"> start, tripod temperatures ranged between -9 °C and -9.5</w:t>
      </w:r>
      <w:r w:rsidR="00DA7DBD">
        <w:t xml:space="preserve"> </w:t>
      </w:r>
      <w:r>
        <w:t>°C, with 20</w:t>
      </w:r>
      <w:r w:rsidR="00DA7DBD">
        <w:t xml:space="preserve"> ft</w:t>
      </w:r>
      <w:r>
        <w:t xml:space="preserve"> AGL UAV temperatures settling to -9.5 °C just before the vertical profiling </w:t>
      </w:r>
      <w:r w:rsidRPr="00E636D3">
        <w:t>maneuvers</w:t>
      </w:r>
      <w:r w:rsidR="00E636D3" w:rsidRPr="00E636D3">
        <w:t xml:space="preserve"> (</w:t>
      </w:r>
      <w:r w:rsidR="00FE3F01" w:rsidRPr="004A62CB">
        <w:fldChar w:fldCharType="begin"/>
      </w:r>
      <w:r w:rsidR="00FE3F01" w:rsidRPr="004A62CB">
        <w:instrText xml:space="preserve"> REF _Ref150823968 \h </w:instrText>
      </w:r>
      <w:r w:rsidR="004A62CB" w:rsidRPr="004A62CB">
        <w:instrText xml:space="preserve"> \* MERGEFORMAT </w:instrText>
      </w:r>
      <w:r w:rsidR="00FE3F01" w:rsidRPr="004A62CB">
        <w:fldChar w:fldCharType="separate"/>
      </w:r>
      <w:r w:rsidR="0010654D" w:rsidRPr="004A62CB">
        <w:t xml:space="preserve">Figure </w:t>
      </w:r>
      <w:r w:rsidR="0010654D" w:rsidRPr="004A62CB">
        <w:rPr>
          <w:noProof/>
        </w:rPr>
        <w:t>21</w:t>
      </w:r>
      <w:r w:rsidR="00FE3F01" w:rsidRPr="004A62CB">
        <w:fldChar w:fldCharType="end"/>
      </w:r>
      <w:r w:rsidR="00E636D3" w:rsidRPr="004A62CB">
        <w:t>)</w:t>
      </w:r>
      <w:r w:rsidRPr="00E636D3">
        <w:t>. Surface</w:t>
      </w:r>
      <w:r>
        <w:t xml:space="preserve"> temperatures spiked to -4 °C after 15:30 CST, fluctuating substantially to a maximum of -2.48 °C by 16:16 CST. Both vertical profiling maneuvers displayed an isothermal atmosphere up to 400 feet AGL with near constant temperatures of -10 °C throughout the atmospheric </w:t>
      </w:r>
      <w:r w:rsidRPr="00E636D3">
        <w:t>column</w:t>
      </w:r>
      <w:r w:rsidR="00E636D3" w:rsidRPr="00E636D3">
        <w:t xml:space="preserve"> (</w:t>
      </w:r>
      <w:r w:rsidR="00FE3F01">
        <w:fldChar w:fldCharType="begin"/>
      </w:r>
      <w:r w:rsidR="00FE3F01">
        <w:instrText xml:space="preserve"> REF _Ref150824014 \h </w:instrText>
      </w:r>
      <w:r w:rsidR="00FE3F01">
        <w:fldChar w:fldCharType="separate"/>
      </w:r>
      <w:r w:rsidR="0010654D">
        <w:t>Fig</w:t>
      </w:r>
      <w:r w:rsidR="004A62CB">
        <w:t>s</w:t>
      </w:r>
      <w:r w:rsidR="0010654D">
        <w:t xml:space="preserve"> </w:t>
      </w:r>
      <w:r w:rsidR="0010654D">
        <w:rPr>
          <w:noProof/>
        </w:rPr>
        <w:t>22</w:t>
      </w:r>
      <w:r w:rsidR="00FE3F01">
        <w:fldChar w:fldCharType="end"/>
      </w:r>
      <w:r w:rsidR="00FE3F01">
        <w:fldChar w:fldCharType="begin"/>
      </w:r>
      <w:r w:rsidR="00FE3F01">
        <w:instrText xml:space="preserve"> REF _Ref150824015 \h </w:instrText>
      </w:r>
      <w:r w:rsidR="00FE3F01">
        <w:fldChar w:fldCharType="separate"/>
      </w:r>
      <w:r w:rsidR="004A62CB">
        <w:t xml:space="preserve">, </w:t>
      </w:r>
      <w:r w:rsidR="0010654D">
        <w:rPr>
          <w:noProof/>
        </w:rPr>
        <w:t>23</w:t>
      </w:r>
      <w:r w:rsidR="00FE3F01">
        <w:fldChar w:fldCharType="end"/>
      </w:r>
      <w:r w:rsidR="00E636D3" w:rsidRPr="00E636D3">
        <w:t>)</w:t>
      </w:r>
      <w:r w:rsidRPr="00E636D3">
        <w:t>. Relative</w:t>
      </w:r>
      <w:r>
        <w:t xml:space="preserve"> humidity measurements during the first profiling maneuver varied considerably between the ascent (43</w:t>
      </w:r>
      <w:r w:rsidR="00E636D3">
        <w:t xml:space="preserve"> </w:t>
      </w:r>
      <w:r>
        <w:t>-</w:t>
      </w:r>
      <w:r w:rsidR="00E636D3">
        <w:t xml:space="preserve"> </w:t>
      </w:r>
      <w:r>
        <w:t xml:space="preserve">44 percent) and descent (55 percent) below 250 ft AGL, resulting in considerable dew point differences between the ascent (-20 °C) and descent (-17.5 °C). Above 300 ft AGL, relative humidity measurements </w:t>
      </w:r>
      <w:proofErr w:type="gramStart"/>
      <w:r>
        <w:t>had closer</w:t>
      </w:r>
      <w:proofErr w:type="gramEnd"/>
      <w:r>
        <w:t xml:space="preserve"> agreement. The second profiling maneuver had better correlation for relative humidity measurements between the ascent and descent. Visibility measurements for both profiling maneuvers recorded 4000 m, with lowered visibilities towards the surface related to sensor obstruction issues with the ground. </w:t>
      </w:r>
    </w:p>
    <w:p w14:paraId="3158E135" w14:textId="14E1C44B" w:rsidR="00E74403" w:rsidRDefault="008955C2" w:rsidP="00E74403">
      <w:pPr>
        <w:pStyle w:val="TextFormat"/>
      </w:pPr>
      <w:r>
        <w:t xml:space="preserve">The hovering maneuver occurred between 15:34:04 CST and 15:43:16 CST at a constant 7.5 feet AGL of </w:t>
      </w:r>
      <w:r w:rsidRPr="008609C0">
        <w:t>altitude</w:t>
      </w:r>
      <w:r w:rsidR="008609C0" w:rsidRPr="008609C0">
        <w:t xml:space="preserve"> (</w:t>
      </w:r>
      <w:r w:rsidR="004A62CB">
        <w:fldChar w:fldCharType="begin"/>
      </w:r>
      <w:r w:rsidR="004A62CB">
        <w:instrText xml:space="preserve"> REF _Ref152692709 \h </w:instrText>
      </w:r>
      <w:r w:rsidR="004A62CB">
        <w:fldChar w:fldCharType="separate"/>
      </w:r>
      <w:r w:rsidR="004A62CB">
        <w:t xml:space="preserve">Figure </w:t>
      </w:r>
      <w:r w:rsidR="004A62CB">
        <w:rPr>
          <w:noProof/>
        </w:rPr>
        <w:t>24</w:t>
      </w:r>
      <w:r w:rsidR="004A62CB">
        <w:fldChar w:fldCharType="end"/>
      </w:r>
      <w:r w:rsidR="008609C0" w:rsidRPr="008609C0">
        <w:t>)</w:t>
      </w:r>
      <w:r w:rsidRPr="008609C0">
        <w:t>. Outside</w:t>
      </w:r>
      <w:r>
        <w:t xml:space="preserve"> of a singular instance of movement indicated by the latitude change around 15:38 UTC, the maneuver was successful. Temperatures fluctuated between -8.5 °C and -9.0 °C, with relative humidities between 43 percent and 50 percent. The first racetrack pattern consisted of four alternating horizontal maneuvers as </w:t>
      </w:r>
      <w:r w:rsidRPr="008609C0">
        <w:t xml:space="preserve">shown on </w:t>
      </w:r>
      <w:r w:rsidR="008609C0" w:rsidRPr="008609C0">
        <w:t>(</w:t>
      </w:r>
      <w:r w:rsidR="004A62CB">
        <w:fldChar w:fldCharType="begin"/>
      </w:r>
      <w:r w:rsidR="004A62CB">
        <w:instrText xml:space="preserve"> REF _Ref152692722 \h </w:instrText>
      </w:r>
      <w:r w:rsidR="004A62CB">
        <w:fldChar w:fldCharType="separate"/>
      </w:r>
      <w:r w:rsidR="004A62CB">
        <w:t xml:space="preserve">Figure </w:t>
      </w:r>
      <w:r w:rsidR="004A62CB">
        <w:rPr>
          <w:noProof/>
        </w:rPr>
        <w:t>25</w:t>
      </w:r>
      <w:r w:rsidR="004A62CB">
        <w:fldChar w:fldCharType="end"/>
      </w:r>
      <w:r w:rsidR="008609C0" w:rsidRPr="008609C0">
        <w:t>)</w:t>
      </w:r>
      <w:r w:rsidRPr="008609C0">
        <w:t>. The</w:t>
      </w:r>
      <w:r>
        <w:t xml:space="preserve"> temperature measurements mimicked this pattern, alternating cyclically between -9.0 °C and -8.2 °C. The relative humidity varied between 46.5 percent and 48.5 percent and responded more subtly to the maneuvers. A second racetrack pattern utilizing two alternating horizontal maneuvers displayed similar results to the </w:t>
      </w:r>
      <w:r w:rsidRPr="008609C0">
        <w:t>first (</w:t>
      </w:r>
      <w:r w:rsidR="004A62CB">
        <w:fldChar w:fldCharType="begin"/>
      </w:r>
      <w:r w:rsidR="004A62CB">
        <w:instrText xml:space="preserve"> REF _Ref152692733 \h </w:instrText>
      </w:r>
      <w:r w:rsidR="004A62CB">
        <w:fldChar w:fldCharType="separate"/>
      </w:r>
      <w:r w:rsidR="004A62CB" w:rsidRPr="00F71266">
        <w:t xml:space="preserve">Figure </w:t>
      </w:r>
      <w:r w:rsidR="004A62CB">
        <w:rPr>
          <w:noProof/>
        </w:rPr>
        <w:t>26</w:t>
      </w:r>
      <w:r w:rsidR="004A62CB">
        <w:fldChar w:fldCharType="end"/>
      </w:r>
      <w:r w:rsidRPr="008609C0">
        <w:t>).</w:t>
      </w:r>
      <w:bookmarkStart w:id="118" w:name="_Toc150698159"/>
      <w:bookmarkStart w:id="119" w:name="_Toc150818420"/>
      <w:bookmarkStart w:id="120" w:name="_Ref150267917"/>
    </w:p>
    <w:p w14:paraId="423EEC99" w14:textId="77777777" w:rsidR="004B5C0B" w:rsidRDefault="004B5C0B" w:rsidP="004B5C0B">
      <w:pPr>
        <w:pStyle w:val="Figure"/>
      </w:pPr>
      <w:r w:rsidRPr="004B5C0B">
        <w:lastRenderedPageBreak/>
        <w:drawing>
          <wp:inline distT="0" distB="0" distL="0" distR="0" wp14:anchorId="7CAB3761" wp14:editId="024A4FF2">
            <wp:extent cx="5943600" cy="3917315"/>
            <wp:effectExtent l="0" t="0" r="0" b="0"/>
            <wp:docPr id="519794930" name="Picture 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94930" name="Picture 1" descr="A graph of a graph of a graph&#10;&#10;Description automatically generated with medium confidence"/>
                    <pic:cNvPicPr/>
                  </pic:nvPicPr>
                  <pic:blipFill>
                    <a:blip r:embed="rId30"/>
                    <a:stretch>
                      <a:fillRect/>
                    </a:stretch>
                  </pic:blipFill>
                  <pic:spPr>
                    <a:xfrm>
                      <a:off x="0" y="0"/>
                      <a:ext cx="5943600" cy="3917315"/>
                    </a:xfrm>
                    <a:prstGeom prst="rect">
                      <a:avLst/>
                    </a:prstGeom>
                  </pic:spPr>
                </pic:pic>
              </a:graphicData>
            </a:graphic>
          </wp:inline>
        </w:drawing>
      </w:r>
    </w:p>
    <w:p w14:paraId="5FA12605" w14:textId="5CC3A80C" w:rsidR="00FE3F01" w:rsidRPr="00FE3F01" w:rsidRDefault="004B5C0B" w:rsidP="00FE3F01">
      <w:pPr>
        <w:pStyle w:val="FigureCaption"/>
        <w:rPr>
          <w:i w:val="0"/>
          <w:iCs w:val="0"/>
        </w:rPr>
      </w:pPr>
      <w:bookmarkStart w:id="121" w:name="_Ref152692627"/>
      <w:bookmarkStart w:id="122" w:name="_Toc152692048"/>
      <w:r>
        <w:t xml:space="preserve">Figure </w:t>
      </w:r>
      <w:r w:rsidR="00F208F0">
        <w:fldChar w:fldCharType="begin"/>
      </w:r>
      <w:r w:rsidR="00F208F0">
        <w:instrText xml:space="preserve"> SEQ Figure \* ARABIC </w:instrText>
      </w:r>
      <w:r w:rsidR="00F208F0">
        <w:fldChar w:fldCharType="separate"/>
      </w:r>
      <w:r w:rsidR="00E337FD">
        <w:rPr>
          <w:noProof/>
        </w:rPr>
        <w:t>19</w:t>
      </w:r>
      <w:r w:rsidR="00F208F0">
        <w:rPr>
          <w:noProof/>
        </w:rPr>
        <w:fldChar w:fldCharType="end"/>
      </w:r>
      <w:bookmarkEnd w:id="121"/>
      <w:r>
        <w:t>.</w:t>
      </w:r>
      <w:r w:rsidRPr="00391B1A">
        <w:t xml:space="preserve"> A representation of the March 13</w:t>
      </w:r>
      <w:r w:rsidRPr="00391B1A">
        <w:rPr>
          <w:vertAlign w:val="superscript"/>
        </w:rPr>
        <w:t>th</w:t>
      </w:r>
      <w:r w:rsidRPr="00391B1A">
        <w:t>, 2023 UAV flight data. The upper panel displays altitude (solid black line) on the primary y-axis and latitude (dotted orange line) on the secondary y-axis. The bottom panel displays temperature (dark red solid line) on the primary y-axis and relative humidity (dotted blue line) on the secondary y-axis. The latitude is centered at 46.67828 °N with observed changes occurring on a minute scale. Vertical black dotted lines separate four distinct maneuvers. A represents two vertical profiles. B represents a hovering period. Both C and D represent separate racetrack maneuvers</w:t>
      </w:r>
      <w:r>
        <w:t>.</w:t>
      </w:r>
      <w:bookmarkEnd w:id="122"/>
      <w:r w:rsidR="00FE3F01">
        <w:br w:type="page"/>
      </w:r>
    </w:p>
    <w:p w14:paraId="4B03CD5F" w14:textId="77777777" w:rsidR="00E74403" w:rsidRDefault="00E74403" w:rsidP="00E74403">
      <w:pPr>
        <w:pStyle w:val="Figure"/>
      </w:pPr>
      <w:r w:rsidRPr="005A25FC">
        <w:lastRenderedPageBreak/>
        <w:drawing>
          <wp:inline distT="0" distB="0" distL="0" distR="0" wp14:anchorId="5D5817F7" wp14:editId="179C5425">
            <wp:extent cx="5750355" cy="4818380"/>
            <wp:effectExtent l="0" t="0" r="3175" b="1270"/>
            <wp:docPr id="387526117" name="Picture 3875261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39555" name="Picture 1" descr="A screenshot of a graph&#10;&#10;Description automatically generated"/>
                    <pic:cNvPicPr/>
                  </pic:nvPicPr>
                  <pic:blipFill>
                    <a:blip r:embed="rId31"/>
                    <a:stretch>
                      <a:fillRect/>
                    </a:stretch>
                  </pic:blipFill>
                  <pic:spPr>
                    <a:xfrm>
                      <a:off x="0" y="0"/>
                      <a:ext cx="5756763" cy="4823750"/>
                    </a:xfrm>
                    <a:prstGeom prst="rect">
                      <a:avLst/>
                    </a:prstGeom>
                  </pic:spPr>
                </pic:pic>
              </a:graphicData>
            </a:graphic>
          </wp:inline>
        </w:drawing>
      </w:r>
    </w:p>
    <w:p w14:paraId="1F7AE71F" w14:textId="24EBEA6A" w:rsidR="008955C2" w:rsidRDefault="00E74403" w:rsidP="00E74403">
      <w:pPr>
        <w:pStyle w:val="FigureCaption"/>
      </w:pPr>
      <w:bookmarkStart w:id="123" w:name="_Ref150823953"/>
      <w:bookmarkStart w:id="124" w:name="_Toc152692049"/>
      <w:r>
        <w:t xml:space="preserve">Figure </w:t>
      </w:r>
      <w:r w:rsidR="005858A3">
        <w:fldChar w:fldCharType="begin"/>
      </w:r>
      <w:r w:rsidR="005858A3">
        <w:instrText xml:space="preserve"> SEQ Figure \* ARABIC </w:instrText>
      </w:r>
      <w:r w:rsidR="005858A3">
        <w:fldChar w:fldCharType="separate"/>
      </w:r>
      <w:r w:rsidR="00E337FD">
        <w:rPr>
          <w:noProof/>
        </w:rPr>
        <w:t>20</w:t>
      </w:r>
      <w:r w:rsidR="005858A3">
        <w:rPr>
          <w:noProof/>
        </w:rPr>
        <w:fldChar w:fldCharType="end"/>
      </w:r>
      <w:bookmarkEnd w:id="123"/>
      <w:r>
        <w:t>.</w:t>
      </w:r>
      <w:r w:rsidRPr="00272E74">
        <w:t xml:space="preserve"> </w:t>
      </w:r>
      <w:r>
        <w:t>A panel of plots representing t</w:t>
      </w:r>
      <w:r w:rsidRPr="00272E74">
        <w:t>ripod wind speed and wind direction time series recorded by the Young Anemometer on March 13</w:t>
      </w:r>
      <w:r w:rsidRPr="00272E74">
        <w:rPr>
          <w:vertAlign w:val="superscript"/>
        </w:rPr>
        <w:t>th</w:t>
      </w:r>
      <w:r w:rsidRPr="00272E74">
        <w:t>, 2023</w:t>
      </w:r>
      <w:r>
        <w:t>. Data is visualized</w:t>
      </w:r>
      <w:r w:rsidRPr="00272E74">
        <w:t xml:space="preserve"> through the Grafana open-source software dashboards. All times are reported in central standard time. The UAV mission occurred between 15:12 CST and 15:58 CST.</w:t>
      </w:r>
      <w:bookmarkEnd w:id="118"/>
      <w:bookmarkEnd w:id="119"/>
      <w:bookmarkEnd w:id="120"/>
      <w:bookmarkEnd w:id="124"/>
    </w:p>
    <w:p w14:paraId="596E329E" w14:textId="77777777" w:rsidR="00E74403" w:rsidRDefault="00E74403" w:rsidP="00E74403">
      <w:pPr>
        <w:pStyle w:val="Figure"/>
      </w:pPr>
      <w:bookmarkStart w:id="125" w:name="_Toc150698160"/>
      <w:bookmarkStart w:id="126" w:name="_Toc150818421"/>
      <w:bookmarkStart w:id="127" w:name="_Ref150780923"/>
      <w:r w:rsidRPr="00E15728">
        <w:lastRenderedPageBreak/>
        <w:drawing>
          <wp:inline distT="0" distB="0" distL="0" distR="0" wp14:anchorId="73D2AC35" wp14:editId="3E5FA1FD">
            <wp:extent cx="5943600" cy="4986020"/>
            <wp:effectExtent l="0" t="0" r="0" b="5080"/>
            <wp:docPr id="1289329236" name="Picture 1" descr="A graph of different temper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29236" name="Picture 1" descr="A graph of different temperature&#10;&#10;Description automatically generated with medium confidence"/>
                    <pic:cNvPicPr/>
                  </pic:nvPicPr>
                  <pic:blipFill>
                    <a:blip r:embed="rId32"/>
                    <a:stretch>
                      <a:fillRect/>
                    </a:stretch>
                  </pic:blipFill>
                  <pic:spPr>
                    <a:xfrm>
                      <a:off x="0" y="0"/>
                      <a:ext cx="5943600" cy="4986020"/>
                    </a:xfrm>
                    <a:prstGeom prst="rect">
                      <a:avLst/>
                    </a:prstGeom>
                  </pic:spPr>
                </pic:pic>
              </a:graphicData>
            </a:graphic>
          </wp:inline>
        </w:drawing>
      </w:r>
    </w:p>
    <w:p w14:paraId="14554AA2" w14:textId="0F80E4AB" w:rsidR="00E74403" w:rsidRDefault="00E74403" w:rsidP="00AB2281">
      <w:pPr>
        <w:pStyle w:val="FigureCaption"/>
      </w:pPr>
      <w:bookmarkStart w:id="128" w:name="_Ref150823968"/>
      <w:bookmarkStart w:id="129" w:name="_Toc152692050"/>
      <w:r>
        <w:t xml:space="preserve">Figure </w:t>
      </w:r>
      <w:r w:rsidR="00AF2386">
        <w:rPr>
          <w:i w:val="0"/>
          <w:iCs w:val="0"/>
        </w:rPr>
        <w:fldChar w:fldCharType="begin"/>
      </w:r>
      <w:r w:rsidR="00AF2386">
        <w:rPr>
          <w:i w:val="0"/>
          <w:iCs w:val="0"/>
        </w:rPr>
        <w:instrText xml:space="preserve"> SEQ Figure \* ARABIC </w:instrText>
      </w:r>
      <w:r w:rsidR="00AF2386">
        <w:rPr>
          <w:i w:val="0"/>
          <w:iCs w:val="0"/>
        </w:rPr>
        <w:fldChar w:fldCharType="separate"/>
      </w:r>
      <w:r w:rsidR="00E337FD">
        <w:rPr>
          <w:i w:val="0"/>
          <w:iCs w:val="0"/>
          <w:noProof/>
        </w:rPr>
        <w:t>21</w:t>
      </w:r>
      <w:r w:rsidR="00AF2386">
        <w:rPr>
          <w:rFonts w:asciiTheme="minorHAnsi" w:hAnsiTheme="minorHAnsi" w:cstheme="minorBidi"/>
          <w:i w:val="0"/>
          <w:iCs w:val="0"/>
          <w:noProof/>
          <w:sz w:val="22"/>
          <w:szCs w:val="22"/>
        </w:rPr>
        <w:fldChar w:fldCharType="end"/>
      </w:r>
      <w:bookmarkEnd w:id="128"/>
      <w:r>
        <w:t>.</w:t>
      </w:r>
      <w:r w:rsidRPr="00FC00E6">
        <w:t xml:space="preserve"> </w:t>
      </w:r>
      <w:r>
        <w:t xml:space="preserve">A panel of plots using the same format as </w:t>
      </w:r>
      <w:r w:rsidR="00FE3F01">
        <w:rPr>
          <w:i w:val="0"/>
          <w:iCs w:val="0"/>
        </w:rPr>
        <w:fldChar w:fldCharType="begin"/>
      </w:r>
      <w:r w:rsidR="00FE3F01">
        <w:instrText xml:space="preserve"> REF _Ref150823953 \h </w:instrText>
      </w:r>
      <w:r w:rsidR="00FE3F01">
        <w:rPr>
          <w:i w:val="0"/>
          <w:iCs w:val="0"/>
        </w:rPr>
      </w:r>
      <w:r w:rsidR="00FE3F01">
        <w:rPr>
          <w:i w:val="0"/>
          <w:iCs w:val="0"/>
        </w:rPr>
        <w:fldChar w:fldCharType="separate"/>
      </w:r>
      <w:r w:rsidR="0010654D">
        <w:t xml:space="preserve">Figure </w:t>
      </w:r>
      <w:r w:rsidR="0010654D">
        <w:rPr>
          <w:noProof/>
        </w:rPr>
        <w:t>20</w:t>
      </w:r>
      <w:r w:rsidR="00FE3F01">
        <w:rPr>
          <w:i w:val="0"/>
          <w:iCs w:val="0"/>
        </w:rPr>
        <w:fldChar w:fldCharType="end"/>
      </w:r>
      <w:r w:rsidRPr="00FC00E6">
        <w:t>, except with relative humidity and temperature time series plots recorded by the IMet-XQ2.</w:t>
      </w:r>
      <w:bookmarkEnd w:id="125"/>
      <w:bookmarkEnd w:id="126"/>
      <w:bookmarkEnd w:id="127"/>
      <w:bookmarkEnd w:id="129"/>
      <w:r w:rsidR="008955C2">
        <w:br w:type="page"/>
      </w:r>
      <w:bookmarkStart w:id="130" w:name="_Toc150698161"/>
      <w:bookmarkStart w:id="131" w:name="_Toc150818422"/>
      <w:bookmarkStart w:id="132" w:name="_Ref150269753"/>
    </w:p>
    <w:p w14:paraId="7100F235" w14:textId="77777777" w:rsidR="00E74403" w:rsidRDefault="00E74403" w:rsidP="00E74403">
      <w:pPr>
        <w:pStyle w:val="Figure"/>
      </w:pPr>
      <w:bookmarkStart w:id="133" w:name="_Toc150698162"/>
      <w:bookmarkStart w:id="134" w:name="_Toc150818423"/>
      <w:bookmarkStart w:id="135" w:name="_Ref150294351"/>
      <w:bookmarkEnd w:id="130"/>
      <w:bookmarkEnd w:id="131"/>
      <w:bookmarkEnd w:id="132"/>
      <w:r>
        <w:lastRenderedPageBreak/>
        <w:drawing>
          <wp:inline distT="0" distB="0" distL="0" distR="0" wp14:anchorId="097A7663" wp14:editId="0D7F15ED">
            <wp:extent cx="5943600" cy="2778125"/>
            <wp:effectExtent l="0" t="0" r="0" b="3175"/>
            <wp:docPr id="1816350168" name="Picture 1" descr="A graph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50168" name="Picture 1" descr="A graph of a person&#10;&#10;Description automatically generated"/>
                    <pic:cNvPicPr/>
                  </pic:nvPicPr>
                  <pic:blipFill>
                    <a:blip r:embed="rId33"/>
                    <a:stretch>
                      <a:fillRect/>
                    </a:stretch>
                  </pic:blipFill>
                  <pic:spPr>
                    <a:xfrm>
                      <a:off x="0" y="0"/>
                      <a:ext cx="5943600" cy="2778125"/>
                    </a:xfrm>
                    <a:prstGeom prst="rect">
                      <a:avLst/>
                    </a:prstGeom>
                  </pic:spPr>
                </pic:pic>
              </a:graphicData>
            </a:graphic>
          </wp:inline>
        </w:drawing>
      </w:r>
    </w:p>
    <w:p w14:paraId="74F141EA" w14:textId="5AD1B7D6" w:rsidR="00E74403" w:rsidRDefault="00E74403" w:rsidP="00E74403">
      <w:pPr>
        <w:pStyle w:val="FigureCaption"/>
        <w:rPr>
          <w:noProof/>
        </w:rPr>
      </w:pPr>
      <w:bookmarkStart w:id="136" w:name="_Ref150824014"/>
      <w:bookmarkStart w:id="137" w:name="_Toc152692051"/>
      <w:r>
        <w:t xml:space="preserve">Figure </w:t>
      </w:r>
      <w:r w:rsidR="005858A3">
        <w:fldChar w:fldCharType="begin"/>
      </w:r>
      <w:r w:rsidR="005858A3">
        <w:instrText xml:space="preserve"> SEQ Figure \* ARABIC </w:instrText>
      </w:r>
      <w:r w:rsidR="005858A3">
        <w:fldChar w:fldCharType="separate"/>
      </w:r>
      <w:r w:rsidR="00E337FD">
        <w:rPr>
          <w:noProof/>
        </w:rPr>
        <w:t>22</w:t>
      </w:r>
      <w:r w:rsidR="005858A3">
        <w:rPr>
          <w:noProof/>
        </w:rPr>
        <w:fldChar w:fldCharType="end"/>
      </w:r>
      <w:bookmarkEnd w:id="136"/>
      <w:r>
        <w:t>.</w:t>
      </w:r>
      <w:r w:rsidRPr="00E313D2">
        <w:t xml:space="preserve"> </w:t>
      </w:r>
      <w:r>
        <w:t>A panel of plots representing t</w:t>
      </w:r>
      <w:r w:rsidRPr="00331648">
        <w:t xml:space="preserve">emperature (red), dew point (purple), relative humidity (blue), and visibility (gray) during the </w:t>
      </w:r>
      <w:r>
        <w:t xml:space="preserve">first </w:t>
      </w:r>
      <w:r w:rsidRPr="00331648">
        <w:t xml:space="preserve">March </w:t>
      </w:r>
      <w:r>
        <w:t>13</w:t>
      </w:r>
      <w:r>
        <w:rPr>
          <w:vertAlign w:val="superscript"/>
        </w:rPr>
        <w:t>th</w:t>
      </w:r>
      <w:r>
        <w:t xml:space="preserve">, </w:t>
      </w:r>
      <w:proofErr w:type="gramStart"/>
      <w:r w:rsidRPr="00331648">
        <w:t>2023</w:t>
      </w:r>
      <w:proofErr w:type="gramEnd"/>
      <w:r w:rsidRPr="00331648">
        <w:t xml:space="preserve"> vertical profiling maneuver</w:t>
      </w:r>
      <w:r>
        <w:t xml:space="preserve"> represented by A on </w:t>
      </w:r>
      <w:r w:rsidR="004A62CB">
        <w:fldChar w:fldCharType="begin"/>
      </w:r>
      <w:r w:rsidR="004A62CB">
        <w:instrText xml:space="preserve"> REF _Ref152692627 \h </w:instrText>
      </w:r>
      <w:r w:rsidR="004A62CB">
        <w:fldChar w:fldCharType="separate"/>
      </w:r>
      <w:r w:rsidR="004A62CB">
        <w:t xml:space="preserve">Figure </w:t>
      </w:r>
      <w:r w:rsidR="004A62CB">
        <w:rPr>
          <w:noProof/>
        </w:rPr>
        <w:t>19</w:t>
      </w:r>
      <w:r w:rsidR="004A62CB">
        <w:fldChar w:fldCharType="end"/>
      </w:r>
      <w:r w:rsidRPr="00331648">
        <w:t>.</w:t>
      </w:r>
      <w:r>
        <w:t xml:space="preserve"> The ascent occurred between 15:14:26 CST and 15:18:03 CST. The descent occurred between 15:18:21 CST and 15:22:42 CST.</w:t>
      </w:r>
      <w:bookmarkEnd w:id="137"/>
    </w:p>
    <w:p w14:paraId="73D35A98" w14:textId="77777777" w:rsidR="00E74403" w:rsidRDefault="00E74403" w:rsidP="00E74403">
      <w:pPr>
        <w:pStyle w:val="Figure"/>
        <w:keepNext/>
      </w:pPr>
      <w:bookmarkStart w:id="138" w:name="_Toc150698163"/>
      <w:bookmarkStart w:id="139" w:name="_Toc150818424"/>
      <w:bookmarkStart w:id="140" w:name="_Ref150781004"/>
      <w:bookmarkEnd w:id="133"/>
      <w:bookmarkEnd w:id="134"/>
      <w:bookmarkEnd w:id="135"/>
      <w:r>
        <w:drawing>
          <wp:inline distT="0" distB="0" distL="0" distR="0" wp14:anchorId="1B676B86" wp14:editId="64371F23">
            <wp:extent cx="5943600" cy="2778760"/>
            <wp:effectExtent l="0" t="0" r="0" b="2540"/>
            <wp:docPr id="638778786" name="Picture 1" descr="A graph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78786" name="Picture 1" descr="A graph of a line graph&#10;&#10;Description automatically generated with medium confidence"/>
                    <pic:cNvPicPr/>
                  </pic:nvPicPr>
                  <pic:blipFill>
                    <a:blip r:embed="rId34"/>
                    <a:stretch>
                      <a:fillRect/>
                    </a:stretch>
                  </pic:blipFill>
                  <pic:spPr>
                    <a:xfrm>
                      <a:off x="0" y="0"/>
                      <a:ext cx="5943600" cy="2778760"/>
                    </a:xfrm>
                    <a:prstGeom prst="rect">
                      <a:avLst/>
                    </a:prstGeom>
                  </pic:spPr>
                </pic:pic>
              </a:graphicData>
            </a:graphic>
          </wp:inline>
        </w:drawing>
      </w:r>
    </w:p>
    <w:p w14:paraId="2FCB0474" w14:textId="00E9538E" w:rsidR="008955C2" w:rsidRDefault="00E74403" w:rsidP="00FD66F4">
      <w:pPr>
        <w:pStyle w:val="FigureCaption"/>
      </w:pPr>
      <w:bookmarkStart w:id="141" w:name="_Ref150824015"/>
      <w:bookmarkStart w:id="142" w:name="_Toc152692052"/>
      <w:r>
        <w:t xml:space="preserve">Figure </w:t>
      </w:r>
      <w:r w:rsidR="005858A3">
        <w:fldChar w:fldCharType="begin"/>
      </w:r>
      <w:r w:rsidR="005858A3">
        <w:instrText xml:space="preserve"> SEQ Figure \* ARABIC </w:instrText>
      </w:r>
      <w:r w:rsidR="005858A3">
        <w:fldChar w:fldCharType="separate"/>
      </w:r>
      <w:r w:rsidR="00E337FD">
        <w:rPr>
          <w:noProof/>
        </w:rPr>
        <w:t>23</w:t>
      </w:r>
      <w:r w:rsidR="005858A3">
        <w:rPr>
          <w:noProof/>
        </w:rPr>
        <w:fldChar w:fldCharType="end"/>
      </w:r>
      <w:bookmarkEnd w:id="141"/>
      <w:r>
        <w:t>.</w:t>
      </w:r>
      <w:r w:rsidRPr="00E313D2">
        <w:t xml:space="preserve"> </w:t>
      </w:r>
      <w:r>
        <w:t xml:space="preserve">A panel of plots using the same format as </w:t>
      </w:r>
      <w:r w:rsidR="00FE3F01">
        <w:fldChar w:fldCharType="begin"/>
      </w:r>
      <w:r w:rsidR="00FE3F01">
        <w:instrText xml:space="preserve"> REF _Ref150824014 \h </w:instrText>
      </w:r>
      <w:r w:rsidR="00FE3F01">
        <w:fldChar w:fldCharType="separate"/>
      </w:r>
      <w:r w:rsidR="0010654D">
        <w:t xml:space="preserve">Figure </w:t>
      </w:r>
      <w:r w:rsidR="0010654D">
        <w:rPr>
          <w:noProof/>
        </w:rPr>
        <w:t>22</w:t>
      </w:r>
      <w:r w:rsidR="00FE3F01">
        <w:fldChar w:fldCharType="end"/>
      </w:r>
      <w:r>
        <w:t>, but t</w:t>
      </w:r>
      <w:r w:rsidRPr="00E313D2">
        <w:t xml:space="preserve">he second vertical profile represented within A on </w:t>
      </w:r>
      <w:r w:rsidR="004A62CB">
        <w:fldChar w:fldCharType="begin"/>
      </w:r>
      <w:r w:rsidR="004A62CB">
        <w:instrText xml:space="preserve"> REF _Ref152692627 \h </w:instrText>
      </w:r>
      <w:r w:rsidR="004A62CB">
        <w:fldChar w:fldCharType="separate"/>
      </w:r>
      <w:r w:rsidR="004A62CB">
        <w:t xml:space="preserve">Figure </w:t>
      </w:r>
      <w:r w:rsidR="004A62CB">
        <w:rPr>
          <w:noProof/>
        </w:rPr>
        <w:t>19</w:t>
      </w:r>
      <w:r w:rsidR="004A62CB">
        <w:fldChar w:fldCharType="end"/>
      </w:r>
      <w:r w:rsidRPr="00E313D2">
        <w:t>.</w:t>
      </w:r>
      <w:r>
        <w:t xml:space="preserve"> The ascent occurred between 15:22:50 CST and 15:26:36 CST. The descent occurred between 15:27:00 CST and 15:32:07 CST.</w:t>
      </w:r>
      <w:bookmarkEnd w:id="138"/>
      <w:bookmarkEnd w:id="139"/>
      <w:bookmarkEnd w:id="140"/>
      <w:bookmarkEnd w:id="142"/>
      <w:r w:rsidR="008955C2">
        <w:br w:type="page"/>
      </w:r>
    </w:p>
    <w:p w14:paraId="376A65EF" w14:textId="77777777" w:rsidR="00F71266" w:rsidRDefault="00F71266" w:rsidP="00F71266">
      <w:pPr>
        <w:pStyle w:val="Figure"/>
        <w:keepNext/>
      </w:pPr>
      <w:bookmarkStart w:id="143" w:name="_Toc150698164"/>
      <w:bookmarkStart w:id="144" w:name="_Toc150818425"/>
      <w:bookmarkStart w:id="145" w:name="_Ref150781183"/>
      <w:r>
        <w:lastRenderedPageBreak/>
        <w:drawing>
          <wp:inline distT="0" distB="0" distL="0" distR="0" wp14:anchorId="3A514A5E" wp14:editId="2FB8D58A">
            <wp:extent cx="5943600" cy="4719955"/>
            <wp:effectExtent l="0" t="0" r="0" b="0"/>
            <wp:docPr id="37202624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26240" name="Picture 1" descr="A screenshot of a graph&#10;&#10;Description automatically generated"/>
                    <pic:cNvPicPr/>
                  </pic:nvPicPr>
                  <pic:blipFill>
                    <a:blip r:embed="rId35"/>
                    <a:stretch>
                      <a:fillRect/>
                    </a:stretch>
                  </pic:blipFill>
                  <pic:spPr>
                    <a:xfrm>
                      <a:off x="0" y="0"/>
                      <a:ext cx="5943600" cy="4719955"/>
                    </a:xfrm>
                    <a:prstGeom prst="rect">
                      <a:avLst/>
                    </a:prstGeom>
                  </pic:spPr>
                </pic:pic>
              </a:graphicData>
            </a:graphic>
          </wp:inline>
        </w:drawing>
      </w:r>
    </w:p>
    <w:p w14:paraId="382155DF" w14:textId="500C84F9" w:rsidR="00156C37" w:rsidRDefault="00F71266" w:rsidP="00FD66F4">
      <w:pPr>
        <w:pStyle w:val="FigureCaption"/>
      </w:pPr>
      <w:bookmarkStart w:id="146" w:name="_Ref152692709"/>
      <w:bookmarkStart w:id="147" w:name="_Toc152692053"/>
      <w:r>
        <w:t xml:space="preserve">Figure </w:t>
      </w:r>
      <w:r w:rsidR="00F208F0">
        <w:fldChar w:fldCharType="begin"/>
      </w:r>
      <w:r w:rsidR="00F208F0">
        <w:instrText xml:space="preserve"> SEQ Figure \* ARABIC </w:instrText>
      </w:r>
      <w:r w:rsidR="00F208F0">
        <w:fldChar w:fldCharType="separate"/>
      </w:r>
      <w:r w:rsidR="00E337FD">
        <w:rPr>
          <w:noProof/>
        </w:rPr>
        <w:t>24</w:t>
      </w:r>
      <w:r w:rsidR="00F208F0">
        <w:rPr>
          <w:noProof/>
        </w:rPr>
        <w:fldChar w:fldCharType="end"/>
      </w:r>
      <w:bookmarkEnd w:id="146"/>
      <w:r>
        <w:t>.</w:t>
      </w:r>
      <w:r w:rsidRPr="00892659">
        <w:t xml:space="preserve"> </w:t>
      </w:r>
      <w:r>
        <w:t>A panel of plots representing t</w:t>
      </w:r>
      <w:r w:rsidRPr="00892659">
        <w:t xml:space="preserve">he UAV hovering maneuver represented by B on </w:t>
      </w:r>
      <w:r w:rsidR="004A62CB">
        <w:fldChar w:fldCharType="begin"/>
      </w:r>
      <w:r w:rsidR="004A62CB">
        <w:instrText xml:space="preserve"> REF _Ref152692627 \h </w:instrText>
      </w:r>
      <w:r w:rsidR="004A62CB">
        <w:fldChar w:fldCharType="separate"/>
      </w:r>
      <w:r w:rsidR="004A62CB">
        <w:t xml:space="preserve">Figure </w:t>
      </w:r>
      <w:r w:rsidR="004A62CB">
        <w:rPr>
          <w:noProof/>
        </w:rPr>
        <w:t>19</w:t>
      </w:r>
      <w:r w:rsidR="004A62CB">
        <w:fldChar w:fldCharType="end"/>
      </w:r>
      <w:r>
        <w:t xml:space="preserve">. </w:t>
      </w:r>
      <w:r w:rsidRPr="00892659">
        <w:t>The maneuver begins at 15:34:04 CST and ends at 15:43:16 CST.</w:t>
      </w:r>
      <w:bookmarkEnd w:id="143"/>
      <w:bookmarkEnd w:id="144"/>
      <w:bookmarkEnd w:id="145"/>
      <w:bookmarkEnd w:id="147"/>
      <w:r w:rsidR="00156C37">
        <w:br w:type="page"/>
      </w:r>
    </w:p>
    <w:p w14:paraId="708A473E" w14:textId="77777777" w:rsidR="00F71266" w:rsidRDefault="00F71266" w:rsidP="00F71266">
      <w:pPr>
        <w:pStyle w:val="Figure"/>
        <w:keepNext/>
      </w:pPr>
      <w:bookmarkStart w:id="148" w:name="_Toc150698165"/>
      <w:bookmarkStart w:id="149" w:name="_Toc150818426"/>
      <w:bookmarkStart w:id="150" w:name="_Ref150781222"/>
      <w:r>
        <w:lastRenderedPageBreak/>
        <w:drawing>
          <wp:inline distT="0" distB="0" distL="0" distR="0" wp14:anchorId="74E85F63" wp14:editId="5B75767C">
            <wp:extent cx="5943600" cy="4719955"/>
            <wp:effectExtent l="0" t="0" r="0" b="0"/>
            <wp:docPr id="214674025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40251" name="Picture 1" descr="A screenshot of a graph&#10;&#10;Description automatically generated"/>
                    <pic:cNvPicPr/>
                  </pic:nvPicPr>
                  <pic:blipFill>
                    <a:blip r:embed="rId36"/>
                    <a:stretch>
                      <a:fillRect/>
                    </a:stretch>
                  </pic:blipFill>
                  <pic:spPr>
                    <a:xfrm>
                      <a:off x="0" y="0"/>
                      <a:ext cx="5943600" cy="4719955"/>
                    </a:xfrm>
                    <a:prstGeom prst="rect">
                      <a:avLst/>
                    </a:prstGeom>
                  </pic:spPr>
                </pic:pic>
              </a:graphicData>
            </a:graphic>
          </wp:inline>
        </w:drawing>
      </w:r>
    </w:p>
    <w:p w14:paraId="33EA29CB" w14:textId="4F22A151" w:rsidR="008955C2" w:rsidRDefault="00F71266" w:rsidP="00FD66F4">
      <w:pPr>
        <w:pStyle w:val="FigureCaption"/>
      </w:pPr>
      <w:bookmarkStart w:id="151" w:name="_Ref152692722"/>
      <w:bookmarkStart w:id="152" w:name="_Toc152692054"/>
      <w:r>
        <w:t xml:space="preserve">Figure </w:t>
      </w:r>
      <w:r w:rsidR="00F208F0">
        <w:fldChar w:fldCharType="begin"/>
      </w:r>
      <w:r w:rsidR="00F208F0">
        <w:instrText xml:space="preserve"> SEQ Figure \* ARABIC </w:instrText>
      </w:r>
      <w:r w:rsidR="00F208F0">
        <w:fldChar w:fldCharType="separate"/>
      </w:r>
      <w:r w:rsidR="00E337FD">
        <w:rPr>
          <w:noProof/>
        </w:rPr>
        <w:t>25</w:t>
      </w:r>
      <w:r w:rsidR="00F208F0">
        <w:rPr>
          <w:noProof/>
        </w:rPr>
        <w:fldChar w:fldCharType="end"/>
      </w:r>
      <w:bookmarkEnd w:id="151"/>
      <w:r>
        <w:t>.</w:t>
      </w:r>
      <w:r w:rsidRPr="00892659">
        <w:t xml:space="preserve"> </w:t>
      </w:r>
      <w:r>
        <w:t>A panel of plots representing t</w:t>
      </w:r>
      <w:r w:rsidRPr="00892659">
        <w:t xml:space="preserve">he UAV racetrack maneuver represented by C in </w:t>
      </w:r>
      <w:r w:rsidR="004A62CB">
        <w:fldChar w:fldCharType="begin"/>
      </w:r>
      <w:r w:rsidR="004A62CB">
        <w:instrText xml:space="preserve"> REF _Ref152692627 \h </w:instrText>
      </w:r>
      <w:r w:rsidR="004A62CB">
        <w:fldChar w:fldCharType="separate"/>
      </w:r>
      <w:r w:rsidR="004A62CB">
        <w:t xml:space="preserve">Figure </w:t>
      </w:r>
      <w:r w:rsidR="004A62CB">
        <w:rPr>
          <w:noProof/>
        </w:rPr>
        <w:t>19</w:t>
      </w:r>
      <w:r w:rsidR="004A62CB">
        <w:fldChar w:fldCharType="end"/>
      </w:r>
      <w:r>
        <w:t xml:space="preserve">. </w:t>
      </w:r>
      <w:r w:rsidRPr="00892659">
        <w:t>The maneuver begins at 15:48:26 CST and ends at 15:52:10 CST.</w:t>
      </w:r>
      <w:bookmarkEnd w:id="148"/>
      <w:bookmarkEnd w:id="149"/>
      <w:bookmarkEnd w:id="150"/>
      <w:bookmarkEnd w:id="152"/>
      <w:r w:rsidR="008955C2">
        <w:br w:type="page"/>
      </w:r>
    </w:p>
    <w:p w14:paraId="33D38E09" w14:textId="77777777" w:rsidR="00F71266" w:rsidRDefault="00F71266" w:rsidP="00F71266">
      <w:pPr>
        <w:pStyle w:val="Figure"/>
        <w:keepNext/>
      </w:pPr>
      <w:bookmarkStart w:id="153" w:name="_Toc150698166"/>
      <w:bookmarkStart w:id="154" w:name="_Toc150818427"/>
      <w:bookmarkStart w:id="155" w:name="_Ref150781246"/>
      <w:r>
        <w:lastRenderedPageBreak/>
        <w:drawing>
          <wp:inline distT="0" distB="0" distL="0" distR="0" wp14:anchorId="019D6E3A" wp14:editId="6C385254">
            <wp:extent cx="5943600" cy="4754245"/>
            <wp:effectExtent l="0" t="0" r="0" b="0"/>
            <wp:docPr id="2038952940"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52940" name="Picture 1" descr="A graph of different colored lines&#10;&#10;Description automatically generated"/>
                    <pic:cNvPicPr/>
                  </pic:nvPicPr>
                  <pic:blipFill>
                    <a:blip r:embed="rId37"/>
                    <a:stretch>
                      <a:fillRect/>
                    </a:stretch>
                  </pic:blipFill>
                  <pic:spPr>
                    <a:xfrm>
                      <a:off x="0" y="0"/>
                      <a:ext cx="5943600" cy="4754245"/>
                    </a:xfrm>
                    <a:prstGeom prst="rect">
                      <a:avLst/>
                    </a:prstGeom>
                  </pic:spPr>
                </pic:pic>
              </a:graphicData>
            </a:graphic>
          </wp:inline>
        </w:drawing>
      </w:r>
    </w:p>
    <w:p w14:paraId="426EFBB3" w14:textId="0755DFEE" w:rsidR="004B5C0B" w:rsidRDefault="00F71266" w:rsidP="00F71266">
      <w:pPr>
        <w:pStyle w:val="FigureCaption"/>
      </w:pPr>
      <w:bookmarkStart w:id="156" w:name="_Ref152692733"/>
      <w:bookmarkStart w:id="157" w:name="_Toc152692055"/>
      <w:r w:rsidRPr="00F71266">
        <w:t xml:space="preserve">Figure </w:t>
      </w:r>
      <w:r w:rsidR="00F208F0">
        <w:fldChar w:fldCharType="begin"/>
      </w:r>
      <w:r w:rsidR="00F208F0">
        <w:instrText xml:space="preserve"> SEQ Figure \* ARABIC </w:instrText>
      </w:r>
      <w:r w:rsidR="00F208F0">
        <w:fldChar w:fldCharType="separate"/>
      </w:r>
      <w:r w:rsidR="00E337FD">
        <w:rPr>
          <w:noProof/>
        </w:rPr>
        <w:t>26</w:t>
      </w:r>
      <w:r w:rsidR="00F208F0">
        <w:rPr>
          <w:noProof/>
        </w:rPr>
        <w:fldChar w:fldCharType="end"/>
      </w:r>
      <w:bookmarkEnd w:id="156"/>
      <w:r w:rsidRPr="00F71266">
        <w:t xml:space="preserve">. A panel of plots representing the UAV racetrack maneuver represented by D in </w:t>
      </w:r>
      <w:r w:rsidR="004A62CB">
        <w:fldChar w:fldCharType="begin"/>
      </w:r>
      <w:r w:rsidR="004A62CB">
        <w:instrText xml:space="preserve"> REF _Ref152692627 \h </w:instrText>
      </w:r>
      <w:r w:rsidR="004A62CB">
        <w:fldChar w:fldCharType="separate"/>
      </w:r>
      <w:r w:rsidR="004A62CB">
        <w:t xml:space="preserve">Figure </w:t>
      </w:r>
      <w:r w:rsidR="004A62CB">
        <w:rPr>
          <w:noProof/>
        </w:rPr>
        <w:t>19</w:t>
      </w:r>
      <w:r w:rsidR="004A62CB">
        <w:fldChar w:fldCharType="end"/>
      </w:r>
      <w:r w:rsidRPr="00F71266">
        <w:t>. The maneuver begins at 15:54:08 CST and ends at 15:55:35 CST.</w:t>
      </w:r>
      <w:bookmarkEnd w:id="157"/>
    </w:p>
    <w:p w14:paraId="75E466E4" w14:textId="77777777" w:rsidR="008955C2" w:rsidRPr="002E46CE" w:rsidRDefault="008955C2" w:rsidP="003A7E1B">
      <w:pPr>
        <w:pStyle w:val="Heading3"/>
      </w:pPr>
      <w:bookmarkStart w:id="158" w:name="_Toc152692024"/>
      <w:bookmarkEnd w:id="153"/>
      <w:bookmarkEnd w:id="154"/>
      <w:bookmarkEnd w:id="155"/>
      <w:r w:rsidRPr="002E46CE">
        <w:t>March 15</w:t>
      </w:r>
      <w:r w:rsidRPr="002E46CE">
        <w:rPr>
          <w:vertAlign w:val="superscript"/>
        </w:rPr>
        <w:t>th</w:t>
      </w:r>
      <w:r w:rsidRPr="002E46CE">
        <w:t xml:space="preserve"> 2023</w:t>
      </w:r>
      <w:bookmarkEnd w:id="158"/>
    </w:p>
    <w:p w14:paraId="564C29D2" w14:textId="5E8A1224" w:rsidR="008955C2" w:rsidRDefault="008955C2" w:rsidP="00156C37">
      <w:pPr>
        <w:pStyle w:val="TextFormat"/>
      </w:pPr>
      <w:r>
        <w:t>Efficient radiational cooling and light winds allowed for periods of radiation fog to develop during the overnight and early morning hours on March 15</w:t>
      </w:r>
      <w:r w:rsidRPr="00621A24">
        <w:rPr>
          <w:vertAlign w:val="superscript"/>
        </w:rPr>
        <w:t>th</w:t>
      </w:r>
      <w:r>
        <w:t xml:space="preserve">, 2023. The tripod MiniOFS visibility sensor registered periods of lowered </w:t>
      </w:r>
      <w:r w:rsidRPr="005908C4">
        <w:t xml:space="preserve">visibilities by 07:40 </w:t>
      </w:r>
      <w:r w:rsidRPr="00CB319E">
        <w:t>CST (</w:t>
      </w:r>
      <w:r w:rsidR="007C51E6">
        <w:fldChar w:fldCharType="begin"/>
      </w:r>
      <w:r w:rsidR="007C51E6">
        <w:instrText xml:space="preserve"> REF _Ref150824502 \h </w:instrText>
      </w:r>
      <w:r w:rsidR="007C51E6">
        <w:fldChar w:fldCharType="separate"/>
      </w:r>
      <w:r w:rsidR="0010654D">
        <w:t xml:space="preserve">Figure </w:t>
      </w:r>
      <w:r w:rsidR="0010654D">
        <w:rPr>
          <w:noProof/>
        </w:rPr>
        <w:t>27</w:t>
      </w:r>
      <w:r w:rsidR="007C51E6">
        <w:fldChar w:fldCharType="end"/>
      </w:r>
      <w:r w:rsidRPr="00CB319E">
        <w:t>), reaching</w:t>
      </w:r>
      <w:r>
        <w:t xml:space="preserve"> a minimum of 316 m at 07:42:30 CST and 08:07:30 CST. The UAV was powered on and airborne by 08:06:59 </w:t>
      </w:r>
      <w:r w:rsidRPr="00CB319E">
        <w:t>CST (</w:t>
      </w:r>
      <w:r w:rsidR="004A62CB">
        <w:fldChar w:fldCharType="begin"/>
      </w:r>
      <w:r w:rsidR="004A62CB">
        <w:instrText xml:space="preserve"> REF _Ref152692827 \h </w:instrText>
      </w:r>
      <w:r w:rsidR="004A62CB">
        <w:fldChar w:fldCharType="separate"/>
      </w:r>
      <w:r w:rsidR="004A62CB">
        <w:t xml:space="preserve">Figure </w:t>
      </w:r>
      <w:r w:rsidR="004A62CB">
        <w:rPr>
          <w:noProof/>
        </w:rPr>
        <w:t>28</w:t>
      </w:r>
      <w:r w:rsidR="004A62CB">
        <w:fldChar w:fldCharType="end"/>
      </w:r>
      <w:r w:rsidRPr="00CB319E">
        <w:t>). Two</w:t>
      </w:r>
      <w:r>
        <w:t xml:space="preserve"> vertical profiling maneuvers commenced between 08:07:28 CST and 08:23:46 CST. The UAV was grounded shortly thereafter due to icing buildup concerns at 08:24:45 CST. After evaluation, the UAV was deemed airworthy, and power was reactivated by 08:27:01 CST. Brief UAV calibration maneuvers were performed before approval for a hover </w:t>
      </w:r>
      <w:r>
        <w:lastRenderedPageBreak/>
        <w:t xml:space="preserve">maneuver was granted between 08:34:00 CST and 08:45:56 CST. Two more vertical profiling maneuvers commenced thereafter between 08:46:32 CST and 08:56:37 CST. The UAV was powered down at 08:56:55 CST resulting in a total mission length of 49 minutes and 56 seconds. </w:t>
      </w:r>
    </w:p>
    <w:p w14:paraId="34C576A7" w14:textId="50648BEA" w:rsidR="00156C37" w:rsidRDefault="008955C2" w:rsidP="00156C37">
      <w:pPr>
        <w:pStyle w:val="TextFormat"/>
      </w:pPr>
      <w:r>
        <w:t>While all UAV instrumentation w</w:t>
      </w:r>
      <w:r w:rsidR="002777E0">
        <w:t>ere</w:t>
      </w:r>
      <w:r>
        <w:t xml:space="preserve"> operational upon initial powerup, the IMet-XQ2 quickly failed due to moisture buildup from the ambient air and aided by UAV downwash. As such, UAV temperature and humidity measurements were not available for the mission. Visual confirmation of the fog was limited to a shallow diffuse layer just above the surface, supported by the return to 4000</w:t>
      </w:r>
      <w:r w:rsidR="00DA7DBD">
        <w:t xml:space="preserve"> m</w:t>
      </w:r>
      <w:r>
        <w:t xml:space="preserve"> visibilities shortly after mission </w:t>
      </w:r>
      <w:r w:rsidRPr="00CB319E">
        <w:t>commencement (</w:t>
      </w:r>
      <w:r w:rsidR="007C51E6">
        <w:fldChar w:fldCharType="begin"/>
      </w:r>
      <w:r w:rsidR="007C51E6">
        <w:instrText xml:space="preserve"> REF _Ref150824502 \h </w:instrText>
      </w:r>
      <w:r w:rsidR="007C51E6">
        <w:fldChar w:fldCharType="separate"/>
      </w:r>
      <w:r w:rsidR="0010654D">
        <w:t xml:space="preserve">Figure </w:t>
      </w:r>
      <w:r w:rsidR="0010654D">
        <w:rPr>
          <w:noProof/>
        </w:rPr>
        <w:t>27</w:t>
      </w:r>
      <w:r w:rsidR="007C51E6">
        <w:fldChar w:fldCharType="end"/>
      </w:r>
      <w:r w:rsidRPr="00CB319E">
        <w:t>). Surface</w:t>
      </w:r>
      <w:r>
        <w:t xml:space="preserve"> temperatures fluctuated between -10 °C and -12 °C with relative humidities at 100 </w:t>
      </w:r>
      <w:r w:rsidRPr="00D94394">
        <w:t>percent. Wind</w:t>
      </w:r>
      <w:r>
        <w:t xml:space="preserve"> speeds less than 0.5 m/s resulted in a static wind direction for extended </w:t>
      </w:r>
      <w:r w:rsidRPr="00D94394">
        <w:t>durations. Due</w:t>
      </w:r>
      <w:r>
        <w:t xml:space="preserve"> to the shallow nature of the fog, vertical profiles failed to pick up visibility reductions outside of near-surface measurements related to ground obstruction. However, the extended hovering maneuver near 47 f</w:t>
      </w:r>
      <w:r w:rsidR="00DA7DBD">
        <w:t>t</w:t>
      </w:r>
      <w:r>
        <w:t xml:space="preserve"> AGL recorded a gradual lowering of visibilities to 1500 </w:t>
      </w:r>
      <w:r w:rsidRPr="00D94394">
        <w:t>m (</w:t>
      </w:r>
      <w:r w:rsidR="007C51E6">
        <w:fldChar w:fldCharType="begin"/>
      </w:r>
      <w:r w:rsidR="007C51E6">
        <w:instrText xml:space="preserve"> REF _Ref150824586 \h </w:instrText>
      </w:r>
      <w:r w:rsidR="007C51E6">
        <w:fldChar w:fldCharType="separate"/>
      </w:r>
      <w:r w:rsidR="0010654D" w:rsidRPr="00FE3F01">
        <w:t xml:space="preserve">Figure </w:t>
      </w:r>
      <w:r w:rsidR="0010654D">
        <w:rPr>
          <w:noProof/>
        </w:rPr>
        <w:t>29</w:t>
      </w:r>
      <w:r w:rsidR="007C51E6">
        <w:fldChar w:fldCharType="end"/>
      </w:r>
      <w:r w:rsidRPr="00D94394">
        <w:t>). UAV</w:t>
      </w:r>
      <w:r>
        <w:t xml:space="preserve"> performance and response was deemed adequate by the pilot, with noticeable icing buildup on the propellers by mission end.</w:t>
      </w:r>
    </w:p>
    <w:p w14:paraId="06620F60" w14:textId="77777777" w:rsidR="00FE3F01" w:rsidRDefault="00FE3F01" w:rsidP="00FE3F01">
      <w:pPr>
        <w:pStyle w:val="Figure"/>
        <w:keepNext/>
      </w:pPr>
      <w:bookmarkStart w:id="159" w:name="_Toc150698167"/>
      <w:bookmarkStart w:id="160" w:name="_Toc150818428"/>
      <w:bookmarkStart w:id="161" w:name="_Ref150295850"/>
      <w:r w:rsidRPr="00651172">
        <w:lastRenderedPageBreak/>
        <w:drawing>
          <wp:inline distT="0" distB="0" distL="0" distR="0" wp14:anchorId="5555664C" wp14:editId="4B3E8C20">
            <wp:extent cx="5943600" cy="3957320"/>
            <wp:effectExtent l="0" t="0" r="0" b="5080"/>
            <wp:docPr id="67753926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39266" name="Picture 1" descr="A screenshot of a graph&#10;&#10;Description automatically generated"/>
                    <pic:cNvPicPr/>
                  </pic:nvPicPr>
                  <pic:blipFill>
                    <a:blip r:embed="rId38"/>
                    <a:stretch>
                      <a:fillRect/>
                    </a:stretch>
                  </pic:blipFill>
                  <pic:spPr>
                    <a:xfrm>
                      <a:off x="0" y="0"/>
                      <a:ext cx="5943600" cy="3957320"/>
                    </a:xfrm>
                    <a:prstGeom prst="rect">
                      <a:avLst/>
                    </a:prstGeom>
                  </pic:spPr>
                </pic:pic>
              </a:graphicData>
            </a:graphic>
          </wp:inline>
        </w:drawing>
      </w:r>
    </w:p>
    <w:p w14:paraId="334DE982" w14:textId="4AE2E1DB" w:rsidR="00156C37" w:rsidRDefault="00FE3F01" w:rsidP="00FD66F4">
      <w:pPr>
        <w:pStyle w:val="FigureCaption"/>
      </w:pPr>
      <w:bookmarkStart w:id="162" w:name="_Ref150824502"/>
      <w:bookmarkStart w:id="163" w:name="_Toc152692056"/>
      <w:r>
        <w:t xml:space="preserve">Figure </w:t>
      </w:r>
      <w:r w:rsidR="005858A3">
        <w:fldChar w:fldCharType="begin"/>
      </w:r>
      <w:r w:rsidR="005858A3">
        <w:instrText xml:space="preserve"> SEQ Figure \* ARABIC </w:instrText>
      </w:r>
      <w:r w:rsidR="005858A3">
        <w:fldChar w:fldCharType="separate"/>
      </w:r>
      <w:r w:rsidR="00E337FD">
        <w:rPr>
          <w:noProof/>
        </w:rPr>
        <w:t>27</w:t>
      </w:r>
      <w:r w:rsidR="005858A3">
        <w:rPr>
          <w:noProof/>
        </w:rPr>
        <w:fldChar w:fldCharType="end"/>
      </w:r>
      <w:bookmarkEnd w:id="162"/>
      <w:r>
        <w:t>.</w:t>
      </w:r>
      <w:r w:rsidRPr="001E158F">
        <w:t xml:space="preserve"> </w:t>
      </w:r>
      <w:r>
        <w:t xml:space="preserve">A panel of plots using the same format as </w:t>
      </w:r>
      <w:r w:rsidR="007C51E6">
        <w:fldChar w:fldCharType="begin"/>
      </w:r>
      <w:r w:rsidR="007C51E6">
        <w:instrText xml:space="preserve"> REF _Ref150823081 \h </w:instrText>
      </w:r>
      <w:r w:rsidR="007C51E6">
        <w:fldChar w:fldCharType="separate"/>
      </w:r>
      <w:r w:rsidR="0010654D">
        <w:t xml:space="preserve">Figure </w:t>
      </w:r>
      <w:r w:rsidR="0010654D">
        <w:rPr>
          <w:noProof/>
        </w:rPr>
        <w:t>16</w:t>
      </w:r>
      <w:r w:rsidR="007C51E6">
        <w:fldChar w:fldCharType="end"/>
      </w:r>
      <w:r>
        <w:t>, except representing the March 15</w:t>
      </w:r>
      <w:r w:rsidRPr="00651172">
        <w:rPr>
          <w:vertAlign w:val="superscript"/>
        </w:rPr>
        <w:t>th</w:t>
      </w:r>
      <w:proofErr w:type="gramStart"/>
      <w:r>
        <w:t xml:space="preserve"> 2023</w:t>
      </w:r>
      <w:proofErr w:type="gramEnd"/>
      <w:r>
        <w:t xml:space="preserve"> UAV mission. The mission began at 08:07 CST and ended at 08:57 CST.</w:t>
      </w:r>
      <w:bookmarkEnd w:id="159"/>
      <w:bookmarkEnd w:id="160"/>
      <w:bookmarkEnd w:id="161"/>
      <w:bookmarkEnd w:id="163"/>
      <w:r w:rsidR="00156C37">
        <w:br w:type="page"/>
      </w:r>
    </w:p>
    <w:p w14:paraId="157CAD3B" w14:textId="77777777" w:rsidR="00E16255" w:rsidRDefault="00E16255" w:rsidP="00E16255">
      <w:pPr>
        <w:pStyle w:val="Figure"/>
        <w:keepNext/>
      </w:pPr>
      <w:bookmarkStart w:id="164" w:name="_Toc150698168"/>
      <w:bookmarkStart w:id="165" w:name="_Toc150818429"/>
      <w:bookmarkStart w:id="166" w:name="_Ref150295832"/>
      <w:r>
        <w:lastRenderedPageBreak/>
        <w:drawing>
          <wp:inline distT="0" distB="0" distL="0" distR="0" wp14:anchorId="7E65944F" wp14:editId="47CB7160">
            <wp:extent cx="5943600" cy="2642870"/>
            <wp:effectExtent l="0" t="0" r="0" b="0"/>
            <wp:docPr id="737286505"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86505" name="Picture 1" descr="A graph of a graph&#10;&#10;Description automatically generated"/>
                    <pic:cNvPicPr/>
                  </pic:nvPicPr>
                  <pic:blipFill>
                    <a:blip r:embed="rId39"/>
                    <a:stretch>
                      <a:fillRect/>
                    </a:stretch>
                  </pic:blipFill>
                  <pic:spPr>
                    <a:xfrm>
                      <a:off x="0" y="0"/>
                      <a:ext cx="5943600" cy="2642870"/>
                    </a:xfrm>
                    <a:prstGeom prst="rect">
                      <a:avLst/>
                    </a:prstGeom>
                  </pic:spPr>
                </pic:pic>
              </a:graphicData>
            </a:graphic>
          </wp:inline>
        </w:drawing>
      </w:r>
    </w:p>
    <w:p w14:paraId="71410EFE" w14:textId="5D0B61A6" w:rsidR="00FE3F01" w:rsidRDefault="00E16255" w:rsidP="003A7917">
      <w:pPr>
        <w:pStyle w:val="FigureCaption"/>
      </w:pPr>
      <w:bookmarkStart w:id="167" w:name="_Ref152692827"/>
      <w:bookmarkStart w:id="168" w:name="_Toc152692057"/>
      <w:r>
        <w:t xml:space="preserve">Figure </w:t>
      </w:r>
      <w:r w:rsidR="00F208F0">
        <w:fldChar w:fldCharType="begin"/>
      </w:r>
      <w:r w:rsidR="00F208F0">
        <w:instrText xml:space="preserve"> SEQ Figure \* ARABIC </w:instrText>
      </w:r>
      <w:r w:rsidR="00F208F0">
        <w:fldChar w:fldCharType="separate"/>
      </w:r>
      <w:r w:rsidR="00E337FD">
        <w:rPr>
          <w:noProof/>
        </w:rPr>
        <w:t>28</w:t>
      </w:r>
      <w:r w:rsidR="00F208F0">
        <w:rPr>
          <w:noProof/>
        </w:rPr>
        <w:fldChar w:fldCharType="end"/>
      </w:r>
      <w:bookmarkEnd w:id="167"/>
      <w:r>
        <w:t>.</w:t>
      </w:r>
      <w:r w:rsidRPr="001E158F">
        <w:t xml:space="preserve"> A</w:t>
      </w:r>
      <w:r>
        <w:t xml:space="preserve"> plot</w:t>
      </w:r>
      <w:r w:rsidRPr="001E158F">
        <w:t xml:space="preserve"> represent</w:t>
      </w:r>
      <w:r>
        <w:t>ing</w:t>
      </w:r>
      <w:r w:rsidRPr="001E158F">
        <w:t xml:space="preserve"> the March 15</w:t>
      </w:r>
      <w:r w:rsidRPr="001E158F">
        <w:rPr>
          <w:vertAlign w:val="superscript"/>
        </w:rPr>
        <w:t>th</w:t>
      </w:r>
      <w:r w:rsidRPr="001E158F">
        <w:t xml:space="preserve"> 2023 UAV flight data. Altitude (solid black line) is displayed on the primary y-axis and latitude (dotted orange line) displayed on the secondary y-axis. The latitude is centered at 46.67828 °N with observed changes occurring on a minute scale. Dotted vertical black lines represent the start and end times for the hovering maneuver designated as A.</w:t>
      </w:r>
      <w:bookmarkStart w:id="169" w:name="_Toc150698169"/>
      <w:bookmarkStart w:id="170" w:name="_Toc150818430"/>
      <w:bookmarkEnd w:id="164"/>
      <w:bookmarkEnd w:id="165"/>
      <w:bookmarkEnd w:id="166"/>
      <w:bookmarkEnd w:id="168"/>
    </w:p>
    <w:p w14:paraId="76507CB7" w14:textId="77777777" w:rsidR="00FE3F01" w:rsidRDefault="00FE3F01" w:rsidP="00FE3F01">
      <w:pPr>
        <w:pStyle w:val="Figure"/>
        <w:keepNext/>
      </w:pPr>
      <w:bookmarkStart w:id="171" w:name="_Toc150698170"/>
      <w:bookmarkStart w:id="172" w:name="_Toc150818431"/>
      <w:bookmarkStart w:id="173" w:name="_Ref150296414"/>
      <w:bookmarkEnd w:id="169"/>
      <w:bookmarkEnd w:id="170"/>
      <w:r>
        <w:drawing>
          <wp:inline distT="0" distB="0" distL="0" distR="0" wp14:anchorId="0D89D993" wp14:editId="5C7BA868">
            <wp:extent cx="5943600" cy="2879090"/>
            <wp:effectExtent l="0" t="0" r="0" b="0"/>
            <wp:docPr id="300057198" name="Picture 1" descr="A graph showing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57198" name="Picture 1" descr="A graph showing a line&#10;&#10;Description automatically generated"/>
                    <pic:cNvPicPr/>
                  </pic:nvPicPr>
                  <pic:blipFill>
                    <a:blip r:embed="rId40"/>
                    <a:stretch>
                      <a:fillRect/>
                    </a:stretch>
                  </pic:blipFill>
                  <pic:spPr>
                    <a:xfrm>
                      <a:off x="0" y="0"/>
                      <a:ext cx="5943600" cy="2879090"/>
                    </a:xfrm>
                    <a:prstGeom prst="rect">
                      <a:avLst/>
                    </a:prstGeom>
                  </pic:spPr>
                </pic:pic>
              </a:graphicData>
            </a:graphic>
          </wp:inline>
        </w:drawing>
      </w:r>
    </w:p>
    <w:p w14:paraId="1EF14A46" w14:textId="5E4BC2A8" w:rsidR="00FE3F01" w:rsidRDefault="00FE3F01" w:rsidP="00FE3F01">
      <w:pPr>
        <w:pStyle w:val="FigureCaption"/>
        <w:rPr>
          <w:noProof/>
        </w:rPr>
      </w:pPr>
      <w:bookmarkStart w:id="174" w:name="_Ref150824586"/>
      <w:bookmarkStart w:id="175" w:name="_Toc152692058"/>
      <w:r w:rsidRPr="00FE3F01">
        <w:t xml:space="preserve">Figure </w:t>
      </w:r>
      <w:r w:rsidR="005858A3">
        <w:fldChar w:fldCharType="begin"/>
      </w:r>
      <w:r w:rsidR="005858A3">
        <w:instrText xml:space="preserve"> SEQ Figure \* ARABIC </w:instrText>
      </w:r>
      <w:r w:rsidR="005858A3">
        <w:fldChar w:fldCharType="separate"/>
      </w:r>
      <w:r w:rsidR="00E337FD">
        <w:rPr>
          <w:noProof/>
        </w:rPr>
        <w:t>29</w:t>
      </w:r>
      <w:r w:rsidR="005858A3">
        <w:rPr>
          <w:noProof/>
        </w:rPr>
        <w:fldChar w:fldCharType="end"/>
      </w:r>
      <w:bookmarkEnd w:id="174"/>
      <w:r w:rsidRPr="00FE3F01">
        <w:t xml:space="preserve">. A plot representing the hovering maneuver as indicated by A in </w:t>
      </w:r>
      <w:r w:rsidR="004A62CB">
        <w:fldChar w:fldCharType="begin"/>
      </w:r>
      <w:r w:rsidR="004A62CB">
        <w:instrText xml:space="preserve"> REF _Ref152692827 \h </w:instrText>
      </w:r>
      <w:r w:rsidR="004A62CB">
        <w:fldChar w:fldCharType="separate"/>
      </w:r>
      <w:r w:rsidR="004A62CB">
        <w:t xml:space="preserve">Figure </w:t>
      </w:r>
      <w:r w:rsidR="004A62CB">
        <w:rPr>
          <w:noProof/>
        </w:rPr>
        <w:t>28</w:t>
      </w:r>
      <w:r w:rsidR="004A62CB">
        <w:fldChar w:fldCharType="end"/>
      </w:r>
      <w:r w:rsidRPr="00FE3F01">
        <w:t>. Altitude (solid black line) is represented on the y-axis and visibility (dashed gray line) is represented on the secondary y-axis.</w:t>
      </w:r>
      <w:bookmarkEnd w:id="175"/>
    </w:p>
    <w:p w14:paraId="4DB6D3FC" w14:textId="77777777" w:rsidR="008955C2" w:rsidRPr="005908C4" w:rsidRDefault="008955C2" w:rsidP="003A7E1B">
      <w:pPr>
        <w:pStyle w:val="Heading3"/>
      </w:pPr>
      <w:bookmarkStart w:id="176" w:name="_Toc152692025"/>
      <w:bookmarkEnd w:id="171"/>
      <w:bookmarkEnd w:id="172"/>
      <w:bookmarkEnd w:id="173"/>
      <w:r w:rsidRPr="005908C4">
        <w:t>March 23</w:t>
      </w:r>
      <w:r w:rsidRPr="005908C4">
        <w:rPr>
          <w:vertAlign w:val="superscript"/>
        </w:rPr>
        <w:t>rd</w:t>
      </w:r>
      <w:r w:rsidRPr="005908C4">
        <w:t xml:space="preserve"> 2023</w:t>
      </w:r>
      <w:bookmarkEnd w:id="176"/>
    </w:p>
    <w:p w14:paraId="79EF47E8" w14:textId="37A7F946" w:rsidR="008955C2" w:rsidRDefault="008955C2" w:rsidP="00F45FE2">
      <w:pPr>
        <w:pStyle w:val="TextFormat"/>
      </w:pPr>
      <w:r>
        <w:t>Surface high pressure was paired with strong upper-level ridging over the eastern Dakotas and western Minnesota on March 23</w:t>
      </w:r>
      <w:r w:rsidRPr="00352A2E">
        <w:rPr>
          <w:vertAlign w:val="superscript"/>
        </w:rPr>
        <w:t>rd</w:t>
      </w:r>
      <w:r>
        <w:t xml:space="preserve">, 2023. Light winds and clear skies allowed for efficient </w:t>
      </w:r>
      <w:r>
        <w:lastRenderedPageBreak/>
        <w:t xml:space="preserve">radiational cooling overnight, resulting in periods of dense fog throughout the Red River Valley by morning hours. Surface visibility measurements at the tripod recorded early morning instances of fog at 00:33 – 01:00 CST, 05:50 – 06:27 CST, and 07:10 – 07:27 </w:t>
      </w:r>
      <w:r w:rsidRPr="00585A14">
        <w:t>CST (</w:t>
      </w:r>
      <w:r w:rsidR="007C51E6">
        <w:fldChar w:fldCharType="begin"/>
      </w:r>
      <w:r w:rsidR="007C51E6">
        <w:instrText xml:space="preserve"> REF _Ref150824876 \h </w:instrText>
      </w:r>
      <w:r w:rsidR="007C51E6">
        <w:fldChar w:fldCharType="separate"/>
      </w:r>
      <w:r w:rsidR="0010654D">
        <w:t xml:space="preserve">Figure </w:t>
      </w:r>
      <w:r w:rsidR="0010654D">
        <w:rPr>
          <w:noProof/>
        </w:rPr>
        <w:t>30</w:t>
      </w:r>
      <w:r w:rsidR="007C51E6">
        <w:fldChar w:fldCharType="end"/>
      </w:r>
      <w:r w:rsidRPr="00585A14">
        <w:t>). The</w:t>
      </w:r>
      <w:r>
        <w:t xml:space="preserve"> first of two UAV flights began at 08:17:</w:t>
      </w:r>
      <w:r w:rsidRPr="00585A14">
        <w:t>01 CST (</w:t>
      </w:r>
      <w:r w:rsidR="004A62CB">
        <w:fldChar w:fldCharType="begin"/>
      </w:r>
      <w:r w:rsidR="004A62CB">
        <w:instrText xml:space="preserve"> REF _Ref152692899 \h </w:instrText>
      </w:r>
      <w:r w:rsidR="004A62CB">
        <w:fldChar w:fldCharType="separate"/>
      </w:r>
      <w:r w:rsidR="004A62CB">
        <w:t xml:space="preserve">Figure </w:t>
      </w:r>
      <w:r w:rsidR="004A62CB">
        <w:rPr>
          <w:noProof/>
        </w:rPr>
        <w:t>31</w:t>
      </w:r>
      <w:r w:rsidR="004A62CB">
        <w:fldChar w:fldCharType="end"/>
      </w:r>
      <w:r w:rsidRPr="00585A14">
        <w:t>). An</w:t>
      </w:r>
      <w:r>
        <w:t xml:space="preserve"> opaque layer of fog was observed just above the surface, obstructing views of the top half of nearby pine trees. One vertical profiling maneuver was completed between 08:19:56 CST and 08:26:17 CST. Icing buildup on the drone instigated a precautionary landing at 08:28:44 CST. The UAV was deemed airworthy after a short inspection and subsequently airborne by 08:29:31 CST. The second vertical profiling maneuver occurred between 08:30:22 CST and 08:37:28 CST. Icing buildup was more significant, and another precautionary landing occurred at 08:38:14 CST. After a longer inspection and ice removal, the UAV was airborne by 08:43:12 CST. A third vertical profiling maneuver occurred between 08:45:30 CST and 08:49:54 CST. With depleted batteries, the UAV was grounded by 08:52:07 CST. After battery replacement, the second UAV flight began at 09:13:19 </w:t>
      </w:r>
      <w:r w:rsidRPr="00585A14">
        <w:t>CST (</w:t>
      </w:r>
      <w:r w:rsidR="007C51E6">
        <w:fldChar w:fldCharType="begin"/>
      </w:r>
      <w:r w:rsidR="007C51E6">
        <w:instrText xml:space="preserve"> REF _Ref150824940 \h </w:instrText>
      </w:r>
      <w:r w:rsidR="007C51E6">
        <w:fldChar w:fldCharType="separate"/>
      </w:r>
      <w:r w:rsidR="0010654D">
        <w:t xml:space="preserve">Figure </w:t>
      </w:r>
      <w:r w:rsidR="0010654D">
        <w:rPr>
          <w:noProof/>
        </w:rPr>
        <w:t>32</w:t>
      </w:r>
      <w:r w:rsidR="007C51E6">
        <w:fldChar w:fldCharType="end"/>
      </w:r>
      <w:r w:rsidRPr="00585A14">
        <w:t>). Fog</w:t>
      </w:r>
      <w:r>
        <w:t xml:space="preserve"> was noticeably thicker and extended down to the surface by mission start. A fourth vertical profiling maneuver occurred between 09:16:21 CST and 09:27:20 CST. Noticeable ice crystals began falling out of the fog layer. The pilot noticed battery voltage issues and the UAV was grounded by 09:30:28 CST, resulting in a total mission length of 1 hour, 13 minutes and 27 seconds. </w:t>
      </w:r>
    </w:p>
    <w:p w14:paraId="6DB092D3" w14:textId="33827FF7" w:rsidR="008955C2" w:rsidRDefault="008955C2" w:rsidP="00F45FE2">
      <w:pPr>
        <w:pStyle w:val="TextFormat"/>
      </w:pPr>
      <w:r>
        <w:t>Similar to the mission on March 15</w:t>
      </w:r>
      <w:r w:rsidRPr="00EC612C">
        <w:rPr>
          <w:vertAlign w:val="superscript"/>
        </w:rPr>
        <w:t>th</w:t>
      </w:r>
      <w:r>
        <w:t xml:space="preserve">, moisture contamination rendered the IMet-XQ2 inoperable immediately after UAV power activation. As such, no temperature or humidity measurements were available. Tripod temperatures at mission start hovered around -18 °C, slowly rising to -15 °C by </w:t>
      </w:r>
      <w:r w:rsidRPr="00585A14">
        <w:t xml:space="preserve">mission end </w:t>
      </w:r>
      <w:r w:rsidR="005D70A2">
        <w:t>(</w:t>
      </w:r>
      <w:r w:rsidR="005D70A2">
        <w:fldChar w:fldCharType="begin"/>
      </w:r>
      <w:r w:rsidR="005D70A2">
        <w:instrText xml:space="preserve"> REF _Ref150824876 \h </w:instrText>
      </w:r>
      <w:r w:rsidR="00F45FE2">
        <w:instrText xml:space="preserve"> \* MERGEFORMAT </w:instrText>
      </w:r>
      <w:r w:rsidR="005D70A2">
        <w:fldChar w:fldCharType="separate"/>
      </w:r>
      <w:r w:rsidR="0010654D">
        <w:t>Figure 30</w:t>
      </w:r>
      <w:r w:rsidR="005D70A2">
        <w:fldChar w:fldCharType="end"/>
      </w:r>
      <w:r w:rsidRPr="00585A14">
        <w:t>). Winds</w:t>
      </w:r>
      <w:r>
        <w:t xml:space="preserve"> remained light and never increased beyond 1.5</w:t>
      </w:r>
      <w:r w:rsidR="00DA7DBD">
        <w:t xml:space="preserve"> m s</w:t>
      </w:r>
      <w:r w:rsidR="00DA7DBD" w:rsidRPr="001E6CCF">
        <w:rPr>
          <w:vertAlign w:val="superscript"/>
        </w:rPr>
        <w:t>-1</w:t>
      </w:r>
      <w:r>
        <w:t xml:space="preserve">. Consistent with visual observations of a slightly elevated fog layer, tripod visibilities </w:t>
      </w:r>
      <w:r>
        <w:lastRenderedPageBreak/>
        <w:t xml:space="preserve">measured 4000 </w:t>
      </w:r>
      <w:r w:rsidR="00DA7DBD">
        <w:t>m</w:t>
      </w:r>
      <w:r>
        <w:t xml:space="preserve"> through the first three vertical profiling </w:t>
      </w:r>
      <w:r w:rsidRPr="00917BCE">
        <w:t>maneuvers. As</w:t>
      </w:r>
      <w:r>
        <w:t xml:space="preserve"> fog increased in extent, tripod visibilities dipped close to 500 </w:t>
      </w:r>
      <w:r w:rsidR="00DA7DBD">
        <w:t>m</w:t>
      </w:r>
      <w:r>
        <w:t xml:space="preserve"> at the time of the fourth vertical profile around 09:16 CST (</w:t>
      </w:r>
      <w:r w:rsidR="007C51E6">
        <w:fldChar w:fldCharType="begin"/>
      </w:r>
      <w:r w:rsidR="007C51E6">
        <w:instrText xml:space="preserve"> REF _Ref150824876 \h </w:instrText>
      </w:r>
      <w:r w:rsidR="007C51E6">
        <w:fldChar w:fldCharType="separate"/>
      </w:r>
      <w:r w:rsidR="0010654D">
        <w:t xml:space="preserve">Figure </w:t>
      </w:r>
      <w:r w:rsidR="0010654D">
        <w:rPr>
          <w:noProof/>
        </w:rPr>
        <w:t>30</w:t>
      </w:r>
      <w:r w:rsidR="007C51E6">
        <w:fldChar w:fldCharType="end"/>
      </w:r>
      <w:r>
        <w:t xml:space="preserve">). A comparison of the </w:t>
      </w:r>
      <w:r w:rsidRPr="00917BCE">
        <w:t xml:space="preserve">vertical profiles in </w:t>
      </w:r>
      <w:r w:rsidR="007C51E6">
        <w:fldChar w:fldCharType="begin"/>
      </w:r>
      <w:r w:rsidR="007C51E6">
        <w:instrText xml:space="preserve"> REF _Ref150824985 \h </w:instrText>
      </w:r>
      <w:r w:rsidR="007C51E6">
        <w:fldChar w:fldCharType="separate"/>
      </w:r>
      <w:r w:rsidR="0010654D" w:rsidRPr="007C51E6">
        <w:t xml:space="preserve">Figure </w:t>
      </w:r>
      <w:r w:rsidR="0010654D">
        <w:rPr>
          <w:noProof/>
        </w:rPr>
        <w:t>33</w:t>
      </w:r>
      <w:r w:rsidR="007C51E6">
        <w:fldChar w:fldCharType="end"/>
      </w:r>
      <w:r w:rsidRPr="00917BCE">
        <w:t xml:space="preserve"> shows</w:t>
      </w:r>
      <w:r>
        <w:t xml:space="preserve"> progressively lowered visibility throughout the column and a deepening fog layer. All vertical profiling maneuvers started above 20 ft AGL to avoid ground contamination for the UAV MiniOFS. While icing buildup occurred through each profiling maneuver, no noticeable drop in performance was observed by the pilot.</w:t>
      </w:r>
    </w:p>
    <w:p w14:paraId="5EA032BC" w14:textId="77777777" w:rsidR="007C51E6" w:rsidRDefault="007C51E6" w:rsidP="007C51E6">
      <w:pPr>
        <w:pStyle w:val="Figure"/>
        <w:keepNext/>
      </w:pPr>
      <w:bookmarkStart w:id="177" w:name="_Toc150698171"/>
      <w:bookmarkStart w:id="178" w:name="_Toc150818432"/>
      <w:bookmarkStart w:id="179" w:name="_Ref150355273"/>
      <w:r w:rsidRPr="00420237">
        <w:drawing>
          <wp:inline distT="0" distB="0" distL="0" distR="0" wp14:anchorId="6F426F1B" wp14:editId="182C7429">
            <wp:extent cx="5943600" cy="3962400"/>
            <wp:effectExtent l="0" t="0" r="0" b="0"/>
            <wp:docPr id="50806577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65770" name="Picture 1" descr="A screenshot of a graph&#10;&#10;Description automatically generated"/>
                    <pic:cNvPicPr/>
                  </pic:nvPicPr>
                  <pic:blipFill>
                    <a:blip r:embed="rId41"/>
                    <a:stretch>
                      <a:fillRect/>
                    </a:stretch>
                  </pic:blipFill>
                  <pic:spPr>
                    <a:xfrm>
                      <a:off x="0" y="0"/>
                      <a:ext cx="5943600" cy="3962400"/>
                    </a:xfrm>
                    <a:prstGeom prst="rect">
                      <a:avLst/>
                    </a:prstGeom>
                  </pic:spPr>
                </pic:pic>
              </a:graphicData>
            </a:graphic>
          </wp:inline>
        </w:drawing>
      </w:r>
    </w:p>
    <w:p w14:paraId="03C2259E" w14:textId="50915535" w:rsidR="008955C2" w:rsidRDefault="007C51E6" w:rsidP="00FD66F4">
      <w:pPr>
        <w:pStyle w:val="FigureCaption"/>
      </w:pPr>
      <w:bookmarkStart w:id="180" w:name="_Ref150824876"/>
      <w:bookmarkStart w:id="181" w:name="_Toc152692059"/>
      <w:r>
        <w:t xml:space="preserve">Figure </w:t>
      </w:r>
      <w:r w:rsidR="005858A3">
        <w:fldChar w:fldCharType="begin"/>
      </w:r>
      <w:r w:rsidR="005858A3">
        <w:instrText xml:space="preserve"> SEQ Figure \* ARABIC </w:instrText>
      </w:r>
      <w:r w:rsidR="005858A3">
        <w:fldChar w:fldCharType="separate"/>
      </w:r>
      <w:r w:rsidR="00E337FD">
        <w:rPr>
          <w:noProof/>
        </w:rPr>
        <w:t>30</w:t>
      </w:r>
      <w:r w:rsidR="005858A3">
        <w:rPr>
          <w:noProof/>
        </w:rPr>
        <w:fldChar w:fldCharType="end"/>
      </w:r>
      <w:bookmarkEnd w:id="180"/>
      <w:r>
        <w:t>.</w:t>
      </w:r>
      <w:r w:rsidRPr="00420237">
        <w:t xml:space="preserve"> </w:t>
      </w:r>
      <w:r>
        <w:t xml:space="preserve">A panel of plots using the same format as </w:t>
      </w:r>
      <w:r>
        <w:fldChar w:fldCharType="begin"/>
      </w:r>
      <w:r>
        <w:instrText xml:space="preserve"> REF _Ref150823081 \h </w:instrText>
      </w:r>
      <w:r>
        <w:fldChar w:fldCharType="separate"/>
      </w:r>
      <w:r w:rsidR="0010654D">
        <w:t xml:space="preserve">Figure </w:t>
      </w:r>
      <w:r w:rsidR="0010654D">
        <w:rPr>
          <w:noProof/>
        </w:rPr>
        <w:t>16</w:t>
      </w:r>
      <w:r>
        <w:fldChar w:fldCharType="end"/>
      </w:r>
      <w:r>
        <w:t>, except representing the March 23</w:t>
      </w:r>
      <w:r w:rsidRPr="00F67DEC">
        <w:rPr>
          <w:vertAlign w:val="superscript"/>
        </w:rPr>
        <w:t>rd</w:t>
      </w:r>
      <w:proofErr w:type="gramStart"/>
      <w:r>
        <w:t xml:space="preserve"> 2023</w:t>
      </w:r>
      <w:proofErr w:type="gramEnd"/>
      <w:r>
        <w:t xml:space="preserve"> UAV mission. The mission began at 08:17 CST and ended at 09:30 CST.</w:t>
      </w:r>
      <w:bookmarkEnd w:id="177"/>
      <w:bookmarkEnd w:id="178"/>
      <w:bookmarkEnd w:id="179"/>
      <w:bookmarkEnd w:id="181"/>
      <w:r w:rsidR="008955C2">
        <w:br w:type="page"/>
      </w:r>
    </w:p>
    <w:p w14:paraId="11A90D1B" w14:textId="77777777" w:rsidR="00E16255" w:rsidRDefault="00E16255" w:rsidP="00E16255">
      <w:pPr>
        <w:pStyle w:val="Figure"/>
        <w:keepNext/>
      </w:pPr>
      <w:bookmarkStart w:id="182" w:name="_Toc150698172"/>
      <w:bookmarkStart w:id="183" w:name="_Toc150818433"/>
      <w:bookmarkStart w:id="184" w:name="_Ref150354700"/>
      <w:r>
        <w:lastRenderedPageBreak/>
        <w:drawing>
          <wp:inline distT="0" distB="0" distL="0" distR="0" wp14:anchorId="33FB626C" wp14:editId="0C5ED58D">
            <wp:extent cx="5943600" cy="2499995"/>
            <wp:effectExtent l="0" t="0" r="0" b="0"/>
            <wp:docPr id="1923443524" name="Picture 1" descr="A line graph with orange and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43524" name="Picture 1" descr="A line graph with orange and black dots&#10;&#10;Description automatically generated"/>
                    <pic:cNvPicPr/>
                  </pic:nvPicPr>
                  <pic:blipFill>
                    <a:blip r:embed="rId42"/>
                    <a:stretch>
                      <a:fillRect/>
                    </a:stretch>
                  </pic:blipFill>
                  <pic:spPr>
                    <a:xfrm>
                      <a:off x="0" y="0"/>
                      <a:ext cx="5943600" cy="2499995"/>
                    </a:xfrm>
                    <a:prstGeom prst="rect">
                      <a:avLst/>
                    </a:prstGeom>
                  </pic:spPr>
                </pic:pic>
              </a:graphicData>
            </a:graphic>
          </wp:inline>
        </w:drawing>
      </w:r>
    </w:p>
    <w:p w14:paraId="04CFDAB6" w14:textId="5859CC45" w:rsidR="007C51E6" w:rsidRDefault="00E16255" w:rsidP="00E16255">
      <w:pPr>
        <w:pStyle w:val="FigureCaption"/>
      </w:pPr>
      <w:bookmarkStart w:id="185" w:name="_Ref152692899"/>
      <w:bookmarkStart w:id="186" w:name="_Toc152692060"/>
      <w:r>
        <w:t xml:space="preserve">Figure </w:t>
      </w:r>
      <w:r w:rsidR="00F208F0">
        <w:fldChar w:fldCharType="begin"/>
      </w:r>
      <w:r w:rsidR="00F208F0">
        <w:instrText xml:space="preserve"> SEQ Figure \* ARABIC </w:instrText>
      </w:r>
      <w:r w:rsidR="00F208F0">
        <w:fldChar w:fldCharType="separate"/>
      </w:r>
      <w:r w:rsidR="00E337FD">
        <w:rPr>
          <w:noProof/>
        </w:rPr>
        <w:t>31</w:t>
      </w:r>
      <w:r w:rsidR="00F208F0">
        <w:rPr>
          <w:noProof/>
        </w:rPr>
        <w:fldChar w:fldCharType="end"/>
      </w:r>
      <w:bookmarkEnd w:id="185"/>
      <w:r w:rsidRPr="007C51E6">
        <w:t xml:space="preserve">. A plot using the same format as </w:t>
      </w:r>
      <w:r w:rsidR="004A62CB">
        <w:fldChar w:fldCharType="begin"/>
      </w:r>
      <w:r w:rsidR="004A62CB">
        <w:instrText xml:space="preserve"> REF _Ref152692827 \h </w:instrText>
      </w:r>
      <w:r w:rsidR="004A62CB">
        <w:fldChar w:fldCharType="separate"/>
      </w:r>
      <w:r w:rsidR="004A62CB">
        <w:t xml:space="preserve">Figure </w:t>
      </w:r>
      <w:r w:rsidR="004A62CB">
        <w:rPr>
          <w:noProof/>
        </w:rPr>
        <w:t>28</w:t>
      </w:r>
      <w:r w:rsidR="004A62CB">
        <w:fldChar w:fldCharType="end"/>
      </w:r>
      <w:r w:rsidRPr="007C51E6">
        <w:t>, but representing the first flight of the March 23rd</w:t>
      </w:r>
      <w:proofErr w:type="gramStart"/>
      <w:r w:rsidRPr="007C51E6">
        <w:t xml:space="preserve"> 2023</w:t>
      </w:r>
      <w:proofErr w:type="gramEnd"/>
      <w:r w:rsidRPr="007C51E6">
        <w:t xml:space="preserve"> mission.</w:t>
      </w:r>
      <w:bookmarkEnd w:id="186"/>
    </w:p>
    <w:p w14:paraId="3B6B3E17" w14:textId="77777777" w:rsidR="007C51E6" w:rsidRDefault="007C51E6" w:rsidP="007C51E6">
      <w:pPr>
        <w:pStyle w:val="Figure"/>
        <w:keepNext/>
      </w:pPr>
      <w:r>
        <w:drawing>
          <wp:inline distT="0" distB="0" distL="0" distR="0" wp14:anchorId="400F9438" wp14:editId="0B62C2BF">
            <wp:extent cx="5943600" cy="2707005"/>
            <wp:effectExtent l="0" t="0" r="0" b="0"/>
            <wp:docPr id="336831937" name="Picture 1" descr="A graph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31937" name="Picture 1" descr="A graph of a mountain&#10;&#10;Description automatically generated"/>
                    <pic:cNvPicPr/>
                  </pic:nvPicPr>
                  <pic:blipFill>
                    <a:blip r:embed="rId43"/>
                    <a:stretch>
                      <a:fillRect/>
                    </a:stretch>
                  </pic:blipFill>
                  <pic:spPr>
                    <a:xfrm>
                      <a:off x="0" y="0"/>
                      <a:ext cx="5943600" cy="2707005"/>
                    </a:xfrm>
                    <a:prstGeom prst="rect">
                      <a:avLst/>
                    </a:prstGeom>
                  </pic:spPr>
                </pic:pic>
              </a:graphicData>
            </a:graphic>
          </wp:inline>
        </w:drawing>
      </w:r>
    </w:p>
    <w:p w14:paraId="5D407300" w14:textId="5178995E" w:rsidR="008955C2" w:rsidRDefault="007C51E6" w:rsidP="00FD66F4">
      <w:pPr>
        <w:pStyle w:val="FigureCaption"/>
      </w:pPr>
      <w:bookmarkStart w:id="187" w:name="_Ref150824940"/>
      <w:bookmarkStart w:id="188" w:name="_Toc152692061"/>
      <w:r>
        <w:t xml:space="preserve">Figure </w:t>
      </w:r>
      <w:r w:rsidR="005858A3">
        <w:fldChar w:fldCharType="begin"/>
      </w:r>
      <w:r w:rsidR="005858A3">
        <w:instrText xml:space="preserve"> SEQ Figure \* ARABIC </w:instrText>
      </w:r>
      <w:r w:rsidR="005858A3">
        <w:fldChar w:fldCharType="separate"/>
      </w:r>
      <w:r w:rsidR="00E337FD">
        <w:rPr>
          <w:noProof/>
        </w:rPr>
        <w:t>32</w:t>
      </w:r>
      <w:r w:rsidR="005858A3">
        <w:rPr>
          <w:noProof/>
        </w:rPr>
        <w:fldChar w:fldCharType="end"/>
      </w:r>
      <w:bookmarkStart w:id="189" w:name="_Toc150698173"/>
      <w:bookmarkStart w:id="190" w:name="_Toc150818434"/>
      <w:bookmarkEnd w:id="187"/>
      <w:r>
        <w:t>.</w:t>
      </w:r>
      <w:r w:rsidRPr="004E4AE3">
        <w:t xml:space="preserve"> </w:t>
      </w:r>
      <w:r>
        <w:t>A plot using a s</w:t>
      </w:r>
      <w:r w:rsidRPr="004E4AE3">
        <w:t>imilar</w:t>
      </w:r>
      <w:r>
        <w:t xml:space="preserve"> format</w:t>
      </w:r>
      <w:r w:rsidRPr="004E4AE3">
        <w:t xml:space="preserve"> to </w:t>
      </w:r>
      <w:r w:rsidR="004A62CB">
        <w:fldChar w:fldCharType="begin"/>
      </w:r>
      <w:r w:rsidR="004A62CB">
        <w:instrText xml:space="preserve"> REF _Ref152692899 \h </w:instrText>
      </w:r>
      <w:r w:rsidR="004A62CB">
        <w:fldChar w:fldCharType="separate"/>
      </w:r>
      <w:r w:rsidR="004A62CB">
        <w:t xml:space="preserve">Figure </w:t>
      </w:r>
      <w:r w:rsidR="004A62CB">
        <w:rPr>
          <w:noProof/>
        </w:rPr>
        <w:t>31</w:t>
      </w:r>
      <w:r w:rsidR="004A62CB">
        <w:fldChar w:fldCharType="end"/>
      </w:r>
      <w:r>
        <w:t xml:space="preserve"> </w:t>
      </w:r>
      <w:r w:rsidRPr="004E4AE3">
        <w:t>but represent</w:t>
      </w:r>
      <w:r>
        <w:t>ing</w:t>
      </w:r>
      <w:r w:rsidRPr="004E4AE3">
        <w:t xml:space="preserve"> the second flight of the March 23</w:t>
      </w:r>
      <w:r w:rsidRPr="004E4AE3">
        <w:rPr>
          <w:vertAlign w:val="superscript"/>
        </w:rPr>
        <w:t>rd</w:t>
      </w:r>
      <w:proofErr w:type="gramStart"/>
      <w:r w:rsidRPr="004E4AE3">
        <w:t xml:space="preserve"> 2023</w:t>
      </w:r>
      <w:proofErr w:type="gramEnd"/>
      <w:r w:rsidRPr="004E4AE3">
        <w:t xml:space="preserve"> mission. Altitude (black solid line) is displayed on the y-axis and visibility (gray dotted line) is displayed on the secondary y-axis.</w:t>
      </w:r>
      <w:bookmarkEnd w:id="182"/>
      <w:bookmarkEnd w:id="183"/>
      <w:bookmarkEnd w:id="184"/>
      <w:bookmarkEnd w:id="189"/>
      <w:bookmarkEnd w:id="190"/>
      <w:bookmarkEnd w:id="188"/>
      <w:r w:rsidR="008955C2">
        <w:br w:type="page"/>
      </w:r>
    </w:p>
    <w:p w14:paraId="56C4E10A" w14:textId="77777777" w:rsidR="007C51E6" w:rsidRDefault="007C51E6" w:rsidP="007C51E6">
      <w:pPr>
        <w:pStyle w:val="Figure"/>
        <w:keepNext/>
      </w:pPr>
      <w:bookmarkStart w:id="191" w:name="_Toc150698174"/>
      <w:bookmarkStart w:id="192" w:name="_Toc150818435"/>
      <w:bookmarkStart w:id="193" w:name="_Ref150355602"/>
      <w:r>
        <w:lastRenderedPageBreak/>
        <w:drawing>
          <wp:inline distT="0" distB="0" distL="0" distR="0" wp14:anchorId="185307DF" wp14:editId="28C3BDC9">
            <wp:extent cx="5943600" cy="3023870"/>
            <wp:effectExtent l="0" t="0" r="0" b="5080"/>
            <wp:docPr id="593458001" name="Picture 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58001" name="Picture 1" descr="A graph of a graph of a graph&#10;&#10;Description automatically generated with medium confidence"/>
                    <pic:cNvPicPr/>
                  </pic:nvPicPr>
                  <pic:blipFill>
                    <a:blip r:embed="rId44"/>
                    <a:stretch>
                      <a:fillRect/>
                    </a:stretch>
                  </pic:blipFill>
                  <pic:spPr>
                    <a:xfrm>
                      <a:off x="0" y="0"/>
                      <a:ext cx="5943600" cy="3023870"/>
                    </a:xfrm>
                    <a:prstGeom prst="rect">
                      <a:avLst/>
                    </a:prstGeom>
                  </pic:spPr>
                </pic:pic>
              </a:graphicData>
            </a:graphic>
          </wp:inline>
        </w:drawing>
      </w:r>
    </w:p>
    <w:p w14:paraId="29920AAB" w14:textId="24061337" w:rsidR="007C51E6" w:rsidRDefault="007C51E6" w:rsidP="007C51E6">
      <w:pPr>
        <w:pStyle w:val="FigureCaption"/>
        <w:rPr>
          <w:noProof/>
        </w:rPr>
      </w:pPr>
      <w:bookmarkStart w:id="194" w:name="_Ref150824985"/>
      <w:bookmarkStart w:id="195" w:name="_Toc152692062"/>
      <w:r w:rsidRPr="007C51E6">
        <w:t xml:space="preserve">Figure </w:t>
      </w:r>
      <w:r w:rsidR="005858A3">
        <w:fldChar w:fldCharType="begin"/>
      </w:r>
      <w:r w:rsidR="005858A3">
        <w:instrText xml:space="preserve"> SEQ Figure \* ARABIC </w:instrText>
      </w:r>
      <w:r w:rsidR="005858A3">
        <w:fldChar w:fldCharType="separate"/>
      </w:r>
      <w:r w:rsidR="00E337FD">
        <w:rPr>
          <w:noProof/>
        </w:rPr>
        <w:t>33</w:t>
      </w:r>
      <w:r w:rsidR="005858A3">
        <w:rPr>
          <w:noProof/>
        </w:rPr>
        <w:fldChar w:fldCharType="end"/>
      </w:r>
      <w:bookmarkEnd w:id="194"/>
      <w:r w:rsidRPr="007C51E6">
        <w:t>. A three-panel representation of the first (left), second (center), and fourth (right) vertical profiling maneuvers during the March 23rd, 2023 UAV mission. For each panel, altitude is on the y-axis and visibility is the x-axis. All ascents are represented as solid black lines, and all descents are labeled as dashed gray lines. Times represented are start times for the respective maneuver in central standard time.</w:t>
      </w:r>
      <w:bookmarkEnd w:id="195"/>
    </w:p>
    <w:p w14:paraId="1134EA2F" w14:textId="77777777" w:rsidR="008955C2" w:rsidRPr="00917BCE" w:rsidRDefault="008955C2" w:rsidP="003A7E1B">
      <w:pPr>
        <w:pStyle w:val="Heading3"/>
      </w:pPr>
      <w:bookmarkStart w:id="196" w:name="_Toc152692026"/>
      <w:bookmarkEnd w:id="191"/>
      <w:bookmarkEnd w:id="192"/>
      <w:bookmarkEnd w:id="193"/>
      <w:r w:rsidRPr="00917BCE">
        <w:t>March 24</w:t>
      </w:r>
      <w:r w:rsidRPr="00917BCE">
        <w:rPr>
          <w:vertAlign w:val="superscript"/>
        </w:rPr>
        <w:t>th</w:t>
      </w:r>
      <w:r w:rsidRPr="00917BCE">
        <w:t xml:space="preserve"> 2023</w:t>
      </w:r>
      <w:bookmarkEnd w:id="196"/>
    </w:p>
    <w:p w14:paraId="3608DA54" w14:textId="0A881D21" w:rsidR="008955C2" w:rsidRDefault="008955C2" w:rsidP="005D70A2">
      <w:pPr>
        <w:pStyle w:val="TextFormat"/>
      </w:pPr>
      <w:r>
        <w:t xml:space="preserve">Surface high pressure </w:t>
      </w:r>
      <w:r w:rsidR="00E337FD">
        <w:t>moved</w:t>
      </w:r>
      <w:r>
        <w:t xml:space="preserve"> to the east over Minnesota and the Great Lakes by the morning of March 24</w:t>
      </w:r>
      <w:r w:rsidRPr="003951E0">
        <w:rPr>
          <w:vertAlign w:val="superscript"/>
        </w:rPr>
        <w:t>th</w:t>
      </w:r>
      <w:r>
        <w:t xml:space="preserve">, 2023. Compared to the previous morning, conditions for fog development were less favorable due to decreasing subsidence and ridging aloft. However, radiational cooling and clear skies were enough to initiate scattered radiation fog within the Red River Valley by the early morning hours. Surface visibility measurements from the tripod dipped below 4000 meters and hit a minimum of 1100 m by 07:25 </w:t>
      </w:r>
      <w:r w:rsidRPr="00A44D7A">
        <w:t>CST</w:t>
      </w:r>
      <w:r w:rsidR="005D70A2">
        <w:t xml:space="preserve"> (</w:t>
      </w:r>
      <w:r w:rsidR="005D70A2">
        <w:fldChar w:fldCharType="begin"/>
      </w:r>
      <w:r w:rsidR="005D70A2">
        <w:instrText xml:space="preserve"> REF _Ref150825336 \h </w:instrText>
      </w:r>
      <w:r w:rsidR="005D70A2">
        <w:fldChar w:fldCharType="separate"/>
      </w:r>
      <w:r w:rsidR="0010654D">
        <w:t xml:space="preserve">Figure </w:t>
      </w:r>
      <w:r w:rsidR="0010654D">
        <w:rPr>
          <w:noProof/>
        </w:rPr>
        <w:t>34</w:t>
      </w:r>
      <w:r w:rsidR="005D70A2">
        <w:fldChar w:fldCharType="end"/>
      </w:r>
      <w:r w:rsidR="005D70A2">
        <w:t>).</w:t>
      </w:r>
      <w:r w:rsidR="00A44D7A" w:rsidRPr="00A44D7A">
        <w:t xml:space="preserve"> </w:t>
      </w:r>
      <w:r w:rsidRPr="00A44D7A">
        <w:t>The</w:t>
      </w:r>
      <w:r>
        <w:t xml:space="preserve"> UAV was airborne by 08:01:09 CST and commenced a vertical profiling maneuver from 08:02:26 CST to 08:09:27 </w:t>
      </w:r>
      <w:r w:rsidRPr="00A44D7A">
        <w:t>CST</w:t>
      </w:r>
      <w:r w:rsidR="005D70A2">
        <w:t xml:space="preserve"> (</w:t>
      </w:r>
      <w:r w:rsidR="004A62CB">
        <w:fldChar w:fldCharType="begin"/>
      </w:r>
      <w:r w:rsidR="004A62CB">
        <w:instrText xml:space="preserve"> REF _Ref152692973 \h </w:instrText>
      </w:r>
      <w:r w:rsidR="004A62CB">
        <w:fldChar w:fldCharType="separate"/>
      </w:r>
      <w:r w:rsidR="004A62CB">
        <w:t xml:space="preserve">Figure </w:t>
      </w:r>
      <w:r w:rsidR="004A62CB">
        <w:rPr>
          <w:noProof/>
        </w:rPr>
        <w:t>35</w:t>
      </w:r>
      <w:r w:rsidR="004A62CB">
        <w:fldChar w:fldCharType="end"/>
      </w:r>
      <w:r w:rsidR="00A44D7A" w:rsidRPr="00A44D7A">
        <w:t>)</w:t>
      </w:r>
      <w:r w:rsidRPr="00A44D7A">
        <w:t>. Fog</w:t>
      </w:r>
      <w:r>
        <w:t xml:space="preserve"> was optically shallow and elevated, observed to obstruct the tops of nearby pine trees. After a brief landing to check on minimal icing buildup at 08:09:45 CST, a second vertical profiling maneuver commenced at 08:13:50 CST. The ascent was characterized by 50-75 ft rises followed by a 30-45 second hovering to allow a proper sampling period for the MiniOFS at each elevation. The ascent </w:t>
      </w:r>
      <w:r>
        <w:lastRenderedPageBreak/>
        <w:t xml:space="preserve">ended at 08:22:47 CST with the following descent finished at 08:25:30 CST. The UAV powered down at 08:25:47 CST, marking a total mission length of 24 minutes and 38 seconds. </w:t>
      </w:r>
    </w:p>
    <w:p w14:paraId="51AD1EF8" w14:textId="0712F852" w:rsidR="008955C2" w:rsidRDefault="008955C2" w:rsidP="005D70A2">
      <w:pPr>
        <w:pStyle w:val="TextFormat"/>
      </w:pPr>
      <w:r>
        <w:t xml:space="preserve">To prevent moisture contamination to the IMet-XQ2, a change in the orientation and housing of the </w:t>
      </w:r>
      <w:r w:rsidR="00392460">
        <w:t xml:space="preserve">instrument </w:t>
      </w:r>
      <w:r>
        <w:t>resulted in temperature and humidity measurements throughout the mission. The elevated nature of the fog is seen in both the 4000</w:t>
      </w:r>
      <w:r w:rsidR="005858A3">
        <w:t xml:space="preserve"> </w:t>
      </w:r>
      <w:r>
        <w:t>m visibility measurements of the surface-</w:t>
      </w:r>
      <w:r w:rsidRPr="00A44D7A">
        <w:t>based tripod (</w:t>
      </w:r>
      <w:r w:rsidR="005D70A2">
        <w:fldChar w:fldCharType="begin"/>
      </w:r>
      <w:r w:rsidR="005D70A2">
        <w:instrText xml:space="preserve"> REF _Ref150825336 \h </w:instrText>
      </w:r>
      <w:r w:rsidR="005D70A2">
        <w:fldChar w:fldCharType="separate"/>
      </w:r>
      <w:r w:rsidR="0010654D">
        <w:t xml:space="preserve">Figure </w:t>
      </w:r>
      <w:r w:rsidR="0010654D">
        <w:rPr>
          <w:noProof/>
        </w:rPr>
        <w:t>34</w:t>
      </w:r>
      <w:r w:rsidR="005D70A2">
        <w:fldChar w:fldCharType="end"/>
      </w:r>
      <w:r w:rsidRPr="00A44D7A">
        <w:t>) and</w:t>
      </w:r>
      <w:r>
        <w:t xml:space="preserve"> the lowered visibilities within both vertical profiling maneuvers centered around 150 – 200 ft </w:t>
      </w:r>
      <w:r w:rsidRPr="00A44D7A">
        <w:t>AGL (</w:t>
      </w:r>
      <w:r w:rsidR="004D302F">
        <w:fldChar w:fldCharType="begin"/>
      </w:r>
      <w:r w:rsidR="004D302F">
        <w:instrText xml:space="preserve"> REF _Ref150825368 \h </w:instrText>
      </w:r>
      <w:r w:rsidR="004D302F">
        <w:fldChar w:fldCharType="separate"/>
      </w:r>
      <w:r w:rsidR="0010654D">
        <w:t>Fig</w:t>
      </w:r>
      <w:r w:rsidR="004A62CB">
        <w:t>s.</w:t>
      </w:r>
      <w:r w:rsidR="0010654D">
        <w:t xml:space="preserve"> </w:t>
      </w:r>
      <w:r w:rsidR="0010654D">
        <w:rPr>
          <w:noProof/>
        </w:rPr>
        <w:t>36</w:t>
      </w:r>
      <w:r w:rsidR="004D302F">
        <w:fldChar w:fldCharType="end"/>
      </w:r>
      <w:r w:rsidR="004D302F">
        <w:fldChar w:fldCharType="begin"/>
      </w:r>
      <w:r w:rsidR="004D302F">
        <w:instrText xml:space="preserve"> REF _Ref150825369 \h </w:instrText>
      </w:r>
      <w:r w:rsidR="004D302F">
        <w:fldChar w:fldCharType="separate"/>
      </w:r>
      <w:r w:rsidR="004A62CB">
        <w:t>,</w:t>
      </w:r>
      <w:r w:rsidR="0010654D">
        <w:t xml:space="preserve"> </w:t>
      </w:r>
      <w:r w:rsidR="0010654D">
        <w:rPr>
          <w:noProof/>
        </w:rPr>
        <w:t>37</w:t>
      </w:r>
      <w:r w:rsidR="004D302F">
        <w:fldChar w:fldCharType="end"/>
      </w:r>
      <w:r w:rsidRPr="00A44D7A">
        <w:t>). Ice crystal</w:t>
      </w:r>
      <w:r>
        <w:t xml:space="preserve"> fallout occurred through the entirety of the UAV mission. </w:t>
      </w:r>
      <w:r w:rsidR="00A44D7A">
        <w:t xml:space="preserve">There is a noticeable sharp decrease in temperatures coinciding at and just above the top of the visibility reductions. </w:t>
      </w:r>
      <w:r>
        <w:t>Ascent relative humidities are about 10 percent higher than descent relative humidities. Whereas ascent temperatures are about 2 – 3 °C colder than the descent temperatures. In the second ascent profiling maneuver, there is some variation in temperature and humidity during the hovering periods. Even so, there is a good correlation</w:t>
      </w:r>
      <w:r w:rsidR="00A44D7A">
        <w:t xml:space="preserve"> between the two ascents and between the two descents.</w:t>
      </w:r>
      <w:r>
        <w:br w:type="page"/>
      </w:r>
    </w:p>
    <w:p w14:paraId="3F5463BC" w14:textId="77777777" w:rsidR="004D302F" w:rsidRDefault="004D302F" w:rsidP="004D302F">
      <w:pPr>
        <w:pStyle w:val="Figure"/>
        <w:keepNext/>
      </w:pPr>
      <w:bookmarkStart w:id="197" w:name="_Toc150698175"/>
      <w:bookmarkStart w:id="198" w:name="_Toc150818436"/>
      <w:bookmarkStart w:id="199" w:name="_Ref150783686"/>
      <w:r w:rsidRPr="00C612DD">
        <w:lastRenderedPageBreak/>
        <w:drawing>
          <wp:inline distT="0" distB="0" distL="0" distR="0" wp14:anchorId="1C270B9C" wp14:editId="24F1C652">
            <wp:extent cx="5943600" cy="3949700"/>
            <wp:effectExtent l="0" t="0" r="0" b="0"/>
            <wp:docPr id="202021519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15196" name="Picture 1" descr="A screenshot of a graph&#10;&#10;Description automatically generated"/>
                    <pic:cNvPicPr/>
                  </pic:nvPicPr>
                  <pic:blipFill>
                    <a:blip r:embed="rId45"/>
                    <a:stretch>
                      <a:fillRect/>
                    </a:stretch>
                  </pic:blipFill>
                  <pic:spPr>
                    <a:xfrm>
                      <a:off x="0" y="0"/>
                      <a:ext cx="5943600" cy="3949700"/>
                    </a:xfrm>
                    <a:prstGeom prst="rect">
                      <a:avLst/>
                    </a:prstGeom>
                  </pic:spPr>
                </pic:pic>
              </a:graphicData>
            </a:graphic>
          </wp:inline>
        </w:drawing>
      </w:r>
    </w:p>
    <w:p w14:paraId="174C3354" w14:textId="18D416B3" w:rsidR="00B601DF" w:rsidRDefault="004D302F" w:rsidP="00FD66F4">
      <w:pPr>
        <w:pStyle w:val="FigureCaption"/>
      </w:pPr>
      <w:bookmarkStart w:id="200" w:name="_Ref150825336"/>
      <w:bookmarkStart w:id="201" w:name="_Toc152692063"/>
      <w:r>
        <w:t xml:space="preserve">Figure </w:t>
      </w:r>
      <w:r w:rsidR="005858A3">
        <w:fldChar w:fldCharType="begin"/>
      </w:r>
      <w:r w:rsidR="005858A3">
        <w:instrText xml:space="preserve"> SEQ Figure \* ARABIC </w:instrText>
      </w:r>
      <w:r w:rsidR="005858A3">
        <w:fldChar w:fldCharType="separate"/>
      </w:r>
      <w:r w:rsidR="00E337FD">
        <w:rPr>
          <w:noProof/>
        </w:rPr>
        <w:t>34</w:t>
      </w:r>
      <w:r w:rsidR="005858A3">
        <w:rPr>
          <w:noProof/>
        </w:rPr>
        <w:fldChar w:fldCharType="end"/>
      </w:r>
      <w:bookmarkEnd w:id="200"/>
      <w:r>
        <w:t>.</w:t>
      </w:r>
      <w:r w:rsidRPr="00C612DD">
        <w:t xml:space="preserve"> </w:t>
      </w:r>
      <w:r>
        <w:t xml:space="preserve">A panel of plots using the same format as </w:t>
      </w:r>
      <w:r>
        <w:fldChar w:fldCharType="begin"/>
      </w:r>
      <w:r>
        <w:instrText xml:space="preserve"> REF _Ref150823081 \h </w:instrText>
      </w:r>
      <w:r>
        <w:fldChar w:fldCharType="separate"/>
      </w:r>
      <w:r w:rsidR="0010654D">
        <w:t xml:space="preserve">Figure </w:t>
      </w:r>
      <w:r w:rsidR="0010654D">
        <w:rPr>
          <w:noProof/>
        </w:rPr>
        <w:t>16</w:t>
      </w:r>
      <w:r>
        <w:fldChar w:fldCharType="end"/>
      </w:r>
      <w:r>
        <w:t>, except representing the March 24</w:t>
      </w:r>
      <w:r w:rsidRPr="00A44D7A">
        <w:rPr>
          <w:vertAlign w:val="superscript"/>
        </w:rPr>
        <w:t>th</w:t>
      </w:r>
      <w:proofErr w:type="gramStart"/>
      <w:r>
        <w:t xml:space="preserve"> 2023</w:t>
      </w:r>
      <w:proofErr w:type="gramEnd"/>
      <w:r>
        <w:t xml:space="preserve"> UAV mission. </w:t>
      </w:r>
      <w:r w:rsidRPr="00C612DD">
        <w:t xml:space="preserve">The mission </w:t>
      </w:r>
      <w:r>
        <w:t>began</w:t>
      </w:r>
      <w:r w:rsidRPr="00C612DD">
        <w:t xml:space="preserve"> at 08:01:09 CST and ended at 08:25:47 CST.</w:t>
      </w:r>
      <w:bookmarkEnd w:id="197"/>
      <w:bookmarkEnd w:id="198"/>
      <w:bookmarkEnd w:id="199"/>
      <w:bookmarkEnd w:id="201"/>
      <w:r w:rsidR="00B601DF">
        <w:br w:type="page"/>
      </w:r>
    </w:p>
    <w:p w14:paraId="2645FD33" w14:textId="77777777" w:rsidR="00E16255" w:rsidRDefault="00E16255" w:rsidP="00E16255">
      <w:pPr>
        <w:pStyle w:val="Figure"/>
        <w:keepNext/>
      </w:pPr>
      <w:r>
        <w:lastRenderedPageBreak/>
        <w:drawing>
          <wp:inline distT="0" distB="0" distL="0" distR="0" wp14:anchorId="2A39FCB8" wp14:editId="085927CF">
            <wp:extent cx="5943600" cy="3967480"/>
            <wp:effectExtent l="0" t="0" r="0" b="0"/>
            <wp:docPr id="1000437793" name="Picture 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7793" name="Picture 1" descr="A graph of a graph of a graph&#10;&#10;Description automatically generated with medium confidence"/>
                    <pic:cNvPicPr/>
                  </pic:nvPicPr>
                  <pic:blipFill>
                    <a:blip r:embed="rId46"/>
                    <a:stretch>
                      <a:fillRect/>
                    </a:stretch>
                  </pic:blipFill>
                  <pic:spPr>
                    <a:xfrm>
                      <a:off x="0" y="0"/>
                      <a:ext cx="5943600" cy="3967480"/>
                    </a:xfrm>
                    <a:prstGeom prst="rect">
                      <a:avLst/>
                    </a:prstGeom>
                  </pic:spPr>
                </pic:pic>
              </a:graphicData>
            </a:graphic>
          </wp:inline>
        </w:drawing>
      </w:r>
    </w:p>
    <w:p w14:paraId="471DAB6E" w14:textId="5056E652" w:rsidR="008955C2" w:rsidRDefault="00E16255" w:rsidP="00FD66F4">
      <w:pPr>
        <w:pStyle w:val="FigureCaption"/>
      </w:pPr>
      <w:bookmarkStart w:id="202" w:name="_Ref152692973"/>
      <w:bookmarkStart w:id="203" w:name="_Toc152692064"/>
      <w:r>
        <w:t xml:space="preserve">Figure </w:t>
      </w:r>
      <w:r w:rsidR="00F208F0">
        <w:fldChar w:fldCharType="begin"/>
      </w:r>
      <w:r w:rsidR="00F208F0">
        <w:instrText xml:space="preserve"> SEQ Figure \* ARABIC </w:instrText>
      </w:r>
      <w:r w:rsidR="00F208F0">
        <w:fldChar w:fldCharType="separate"/>
      </w:r>
      <w:r w:rsidR="00E337FD">
        <w:rPr>
          <w:noProof/>
        </w:rPr>
        <w:t>35</w:t>
      </w:r>
      <w:r w:rsidR="00F208F0">
        <w:rPr>
          <w:noProof/>
        </w:rPr>
        <w:fldChar w:fldCharType="end"/>
      </w:r>
      <w:bookmarkStart w:id="204" w:name="_Toc150698176"/>
      <w:bookmarkStart w:id="205" w:name="_Toc150818437"/>
      <w:bookmarkEnd w:id="202"/>
      <w:r w:rsidRPr="00205D69">
        <w:t xml:space="preserve">. </w:t>
      </w:r>
      <w:r>
        <w:t xml:space="preserve">A panel of plots using the same format as </w:t>
      </w:r>
      <w:r w:rsidR="004A62CB">
        <w:fldChar w:fldCharType="begin"/>
      </w:r>
      <w:r w:rsidR="004A62CB">
        <w:instrText xml:space="preserve"> REF _Ref152692627 \h </w:instrText>
      </w:r>
      <w:r w:rsidR="004A62CB">
        <w:fldChar w:fldCharType="separate"/>
      </w:r>
      <w:r w:rsidR="004A62CB">
        <w:t xml:space="preserve">Figure </w:t>
      </w:r>
      <w:r w:rsidR="004A62CB">
        <w:rPr>
          <w:noProof/>
        </w:rPr>
        <w:t>19</w:t>
      </w:r>
      <w:r w:rsidR="004A62CB">
        <w:fldChar w:fldCharType="end"/>
      </w:r>
      <w:r>
        <w:t>,</w:t>
      </w:r>
      <w:r w:rsidRPr="00205D69">
        <w:t xml:space="preserve"> </w:t>
      </w:r>
      <w:r>
        <w:t>but</w:t>
      </w:r>
      <w:r w:rsidRPr="00205D69">
        <w:t xml:space="preserve"> for the March 24</w:t>
      </w:r>
      <w:r w:rsidRPr="00205D69">
        <w:rPr>
          <w:vertAlign w:val="superscript"/>
        </w:rPr>
        <w:t>th</w:t>
      </w:r>
      <w:r w:rsidRPr="00205D69">
        <w:t xml:space="preserve">, </w:t>
      </w:r>
      <w:proofErr w:type="gramStart"/>
      <w:r w:rsidRPr="00205D69">
        <w:t>2023</w:t>
      </w:r>
      <w:proofErr w:type="gramEnd"/>
      <w:r w:rsidRPr="00205D69">
        <w:t xml:space="preserve"> mission. Vertical dashed black lines encompass the two vertical profiling maneuvers, labeled A and B</w:t>
      </w:r>
      <w:bookmarkEnd w:id="204"/>
      <w:bookmarkEnd w:id="205"/>
      <w:r>
        <w:t>.</w:t>
      </w:r>
      <w:bookmarkEnd w:id="203"/>
    </w:p>
    <w:p w14:paraId="4656D5C6" w14:textId="77777777" w:rsidR="004D302F" w:rsidRDefault="004D302F" w:rsidP="004D302F">
      <w:pPr>
        <w:pStyle w:val="Figure"/>
      </w:pPr>
      <w:bookmarkStart w:id="206" w:name="_Toc150698177"/>
      <w:bookmarkStart w:id="207" w:name="_Toc150818438"/>
      <w:bookmarkStart w:id="208" w:name="_Ref150364285"/>
      <w:r>
        <w:drawing>
          <wp:inline distT="0" distB="0" distL="0" distR="0" wp14:anchorId="56BACDA6" wp14:editId="577045BA">
            <wp:extent cx="5852328" cy="2727960"/>
            <wp:effectExtent l="0" t="0" r="0" b="0"/>
            <wp:docPr id="722786015"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86015" name="Picture 1" descr="A graph of different colored lines&#10;&#10;Description automatically generated"/>
                    <pic:cNvPicPr/>
                  </pic:nvPicPr>
                  <pic:blipFill>
                    <a:blip r:embed="rId47"/>
                    <a:stretch>
                      <a:fillRect/>
                    </a:stretch>
                  </pic:blipFill>
                  <pic:spPr>
                    <a:xfrm>
                      <a:off x="0" y="0"/>
                      <a:ext cx="5866975" cy="2734788"/>
                    </a:xfrm>
                    <a:prstGeom prst="rect">
                      <a:avLst/>
                    </a:prstGeom>
                  </pic:spPr>
                </pic:pic>
              </a:graphicData>
            </a:graphic>
          </wp:inline>
        </w:drawing>
      </w:r>
    </w:p>
    <w:p w14:paraId="135ED6B8" w14:textId="5813BCA1" w:rsidR="004D302F" w:rsidRDefault="004D302F" w:rsidP="004D302F">
      <w:pPr>
        <w:pStyle w:val="FigureCaption"/>
        <w:rPr>
          <w:noProof/>
        </w:rPr>
      </w:pPr>
      <w:bookmarkStart w:id="209" w:name="_Ref150825368"/>
      <w:bookmarkStart w:id="210" w:name="_Toc152692065"/>
      <w:r>
        <w:t xml:space="preserve">Figure </w:t>
      </w:r>
      <w:r w:rsidR="005858A3">
        <w:fldChar w:fldCharType="begin"/>
      </w:r>
      <w:r w:rsidR="005858A3">
        <w:instrText xml:space="preserve"> SEQ Figure \* ARABIC </w:instrText>
      </w:r>
      <w:r w:rsidR="005858A3">
        <w:fldChar w:fldCharType="separate"/>
      </w:r>
      <w:r w:rsidR="00E337FD">
        <w:rPr>
          <w:noProof/>
        </w:rPr>
        <w:t>36</w:t>
      </w:r>
      <w:r w:rsidR="005858A3">
        <w:rPr>
          <w:noProof/>
        </w:rPr>
        <w:fldChar w:fldCharType="end"/>
      </w:r>
      <w:bookmarkEnd w:id="209"/>
      <w:r w:rsidRPr="00205D69">
        <w:t xml:space="preserve">. </w:t>
      </w:r>
      <w:r>
        <w:t xml:space="preserve">A panel of plots using the same format as </w:t>
      </w:r>
      <w:r>
        <w:fldChar w:fldCharType="begin"/>
      </w:r>
      <w:r>
        <w:instrText xml:space="preserve"> REF _Ref150824014 \h </w:instrText>
      </w:r>
      <w:r>
        <w:fldChar w:fldCharType="separate"/>
      </w:r>
      <w:r w:rsidR="0010654D">
        <w:t xml:space="preserve">Figure </w:t>
      </w:r>
      <w:r w:rsidR="0010654D">
        <w:rPr>
          <w:noProof/>
        </w:rPr>
        <w:t>22</w:t>
      </w:r>
      <w:r>
        <w:fldChar w:fldCharType="end"/>
      </w:r>
      <w:r w:rsidRPr="00205D69">
        <w:t xml:space="preserve"> but representing the first vertical profiling maneuver on March 24</w:t>
      </w:r>
      <w:r w:rsidRPr="00205D69">
        <w:rPr>
          <w:vertAlign w:val="superscript"/>
        </w:rPr>
        <w:t>th</w:t>
      </w:r>
      <w:r w:rsidRPr="00205D69">
        <w:t xml:space="preserve">, 2023, labeled A in </w:t>
      </w:r>
      <w:r w:rsidR="004A62CB">
        <w:fldChar w:fldCharType="begin"/>
      </w:r>
      <w:r w:rsidR="004A62CB">
        <w:instrText xml:space="preserve"> REF _Ref152692973 \h </w:instrText>
      </w:r>
      <w:r w:rsidR="004A62CB">
        <w:fldChar w:fldCharType="separate"/>
      </w:r>
      <w:r w:rsidR="004A62CB">
        <w:t xml:space="preserve">Figure </w:t>
      </w:r>
      <w:r w:rsidR="004A62CB">
        <w:rPr>
          <w:noProof/>
        </w:rPr>
        <w:t>35</w:t>
      </w:r>
      <w:r w:rsidR="004A62CB">
        <w:fldChar w:fldCharType="end"/>
      </w:r>
      <w:r w:rsidRPr="00205D69">
        <w:t>.</w:t>
      </w:r>
      <w:bookmarkEnd w:id="210"/>
    </w:p>
    <w:p w14:paraId="7FA46E9E" w14:textId="77777777" w:rsidR="004D302F" w:rsidRDefault="004D302F" w:rsidP="004D302F">
      <w:pPr>
        <w:pStyle w:val="Figure"/>
        <w:keepNext/>
      </w:pPr>
      <w:bookmarkStart w:id="211" w:name="_Toc150698178"/>
      <w:bookmarkStart w:id="212" w:name="_Toc150818439"/>
      <w:bookmarkStart w:id="213" w:name="_Ref150525939"/>
      <w:bookmarkEnd w:id="206"/>
      <w:bookmarkEnd w:id="207"/>
      <w:bookmarkEnd w:id="208"/>
      <w:r>
        <w:lastRenderedPageBreak/>
        <w:drawing>
          <wp:inline distT="0" distB="0" distL="0" distR="0" wp14:anchorId="0F3AB1C3" wp14:editId="59C22EAD">
            <wp:extent cx="5861864" cy="2732405"/>
            <wp:effectExtent l="0" t="0" r="5715" b="0"/>
            <wp:docPr id="720372271"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72271" name="Picture 1" descr="A graph of different colored lines&#10;&#10;Description automatically generated"/>
                    <pic:cNvPicPr/>
                  </pic:nvPicPr>
                  <pic:blipFill>
                    <a:blip r:embed="rId48"/>
                    <a:stretch>
                      <a:fillRect/>
                    </a:stretch>
                  </pic:blipFill>
                  <pic:spPr>
                    <a:xfrm>
                      <a:off x="0" y="0"/>
                      <a:ext cx="5867077" cy="2734835"/>
                    </a:xfrm>
                    <a:prstGeom prst="rect">
                      <a:avLst/>
                    </a:prstGeom>
                  </pic:spPr>
                </pic:pic>
              </a:graphicData>
            </a:graphic>
          </wp:inline>
        </w:drawing>
      </w:r>
    </w:p>
    <w:p w14:paraId="647C52D2" w14:textId="1082377B" w:rsidR="009B7C69" w:rsidRDefault="004D302F" w:rsidP="009B7C69">
      <w:pPr>
        <w:pStyle w:val="FigureCaption"/>
        <w:rPr>
          <w:i w:val="0"/>
          <w:iCs w:val="0"/>
        </w:rPr>
      </w:pPr>
      <w:bookmarkStart w:id="214" w:name="_Ref150825369"/>
      <w:bookmarkStart w:id="215" w:name="_Toc152692066"/>
      <w:r>
        <w:t xml:space="preserve">Figure </w:t>
      </w:r>
      <w:r w:rsidR="005858A3">
        <w:fldChar w:fldCharType="begin"/>
      </w:r>
      <w:r w:rsidR="005858A3">
        <w:instrText xml:space="preserve"> SEQ Figure \* ARABIC </w:instrText>
      </w:r>
      <w:r w:rsidR="005858A3">
        <w:fldChar w:fldCharType="separate"/>
      </w:r>
      <w:r w:rsidR="00E337FD">
        <w:rPr>
          <w:noProof/>
        </w:rPr>
        <w:t>37</w:t>
      </w:r>
      <w:r w:rsidR="005858A3">
        <w:rPr>
          <w:noProof/>
        </w:rPr>
        <w:fldChar w:fldCharType="end"/>
      </w:r>
      <w:bookmarkEnd w:id="214"/>
      <w:r w:rsidRPr="00061548">
        <w:t xml:space="preserve">. </w:t>
      </w:r>
      <w:r>
        <w:t xml:space="preserve">A panel of plots using the same format as </w:t>
      </w:r>
      <w:r>
        <w:fldChar w:fldCharType="begin"/>
      </w:r>
      <w:r>
        <w:instrText xml:space="preserve"> REF _Ref150824014 \h </w:instrText>
      </w:r>
      <w:r>
        <w:fldChar w:fldCharType="separate"/>
      </w:r>
      <w:r w:rsidR="0010654D">
        <w:t xml:space="preserve">Figure </w:t>
      </w:r>
      <w:r w:rsidR="0010654D">
        <w:rPr>
          <w:noProof/>
        </w:rPr>
        <w:t>22</w:t>
      </w:r>
      <w:r>
        <w:fldChar w:fldCharType="end"/>
      </w:r>
      <w:r w:rsidRPr="00205D69">
        <w:t xml:space="preserve"> but representing the </w:t>
      </w:r>
      <w:r>
        <w:t>second</w:t>
      </w:r>
      <w:r w:rsidRPr="00205D69">
        <w:t xml:space="preserve"> vertical profiling maneuver on March 24</w:t>
      </w:r>
      <w:r w:rsidRPr="00205D69">
        <w:rPr>
          <w:vertAlign w:val="superscript"/>
        </w:rPr>
        <w:t>th</w:t>
      </w:r>
      <w:r w:rsidRPr="00205D69">
        <w:t xml:space="preserve">, 2023, labeled </w:t>
      </w:r>
      <w:r>
        <w:t>B</w:t>
      </w:r>
      <w:r w:rsidRPr="00205D69">
        <w:t xml:space="preserve"> in </w:t>
      </w:r>
      <w:r w:rsidR="004A62CB">
        <w:fldChar w:fldCharType="begin"/>
      </w:r>
      <w:r w:rsidR="004A62CB">
        <w:instrText xml:space="preserve"> REF _Ref152692973 \h </w:instrText>
      </w:r>
      <w:r w:rsidR="004A62CB">
        <w:fldChar w:fldCharType="separate"/>
      </w:r>
      <w:r w:rsidR="004A62CB">
        <w:t xml:space="preserve">Figure </w:t>
      </w:r>
      <w:r w:rsidR="004A62CB">
        <w:rPr>
          <w:noProof/>
        </w:rPr>
        <w:t>35</w:t>
      </w:r>
      <w:r w:rsidR="004A62CB">
        <w:fldChar w:fldCharType="end"/>
      </w:r>
      <w:r w:rsidRPr="00205D69">
        <w:t>.</w:t>
      </w:r>
      <w:bookmarkEnd w:id="211"/>
      <w:bookmarkEnd w:id="212"/>
      <w:bookmarkEnd w:id="213"/>
      <w:bookmarkEnd w:id="215"/>
      <w:r w:rsidR="009B7C69">
        <w:br w:type="page"/>
      </w:r>
    </w:p>
    <w:p w14:paraId="01B4401B" w14:textId="1345A097" w:rsidR="008955C2" w:rsidRDefault="00E44833" w:rsidP="008739B9">
      <w:pPr>
        <w:pStyle w:val="Heading1"/>
      </w:pPr>
      <w:bookmarkStart w:id="216" w:name="_Toc152692027"/>
      <w:r>
        <w:t>CHAPTER V</w:t>
      </w:r>
      <w:r w:rsidR="008C19CF">
        <w:t>I</w:t>
      </w:r>
      <w:r>
        <w:t xml:space="preserve">: </w:t>
      </w:r>
      <w:r w:rsidR="008955C2">
        <w:t>DISCUSSION</w:t>
      </w:r>
      <w:bookmarkEnd w:id="216"/>
    </w:p>
    <w:p w14:paraId="18B48985" w14:textId="7C0C80DB" w:rsidR="008955C2" w:rsidRPr="000D62CE" w:rsidRDefault="008955C2" w:rsidP="00B601DF">
      <w:pPr>
        <w:pStyle w:val="TextFormat"/>
      </w:pPr>
      <w:r>
        <w:t xml:space="preserve">Grand Forks Airport (KGFK), Hector International Airport (KFAR), and Jamestown Regional Airport (KJMS) show remarkably similar patterns in the temporal extent and magnitude of mist/fog probabilities. While KGFK and KFAR share a similar geographic location along the </w:t>
      </w:r>
      <w:r w:rsidRPr="00D56653">
        <w:t>Red River, KJMS lies to the west of the Red River Valley</w:t>
      </w:r>
      <w:r>
        <w:t xml:space="preserve"> and at a higher elevation</w:t>
      </w:r>
      <w:r w:rsidRPr="00D56653">
        <w:t xml:space="preserve"> (</w:t>
      </w:r>
      <w:r w:rsidR="004D302F">
        <w:fldChar w:fldCharType="begin"/>
      </w:r>
      <w:r w:rsidR="004D302F">
        <w:instrText xml:space="preserve"> REF _Ref150821462 \h </w:instrText>
      </w:r>
      <w:r w:rsidR="004D302F">
        <w:fldChar w:fldCharType="separate"/>
      </w:r>
      <w:r w:rsidR="0010654D">
        <w:t>Fig</w:t>
      </w:r>
      <w:r w:rsidR="009B7C69">
        <w:t>s</w:t>
      </w:r>
      <w:r w:rsidR="0010654D">
        <w:t xml:space="preserve"> </w:t>
      </w:r>
      <w:r w:rsidR="0010654D">
        <w:rPr>
          <w:noProof/>
        </w:rPr>
        <w:t>7</w:t>
      </w:r>
      <w:r w:rsidR="004D302F">
        <w:fldChar w:fldCharType="end"/>
      </w:r>
      <w:r w:rsidR="009B7C69">
        <w:t>,</w:t>
      </w:r>
      <w:r w:rsidR="004D302F">
        <w:fldChar w:fldCharType="begin"/>
      </w:r>
      <w:r w:rsidR="004D302F">
        <w:instrText xml:space="preserve"> REF _Ref150821472 \h </w:instrText>
      </w:r>
      <w:r w:rsidR="004D302F">
        <w:fldChar w:fldCharType="separate"/>
      </w:r>
      <w:r w:rsidR="0010654D">
        <w:t xml:space="preserve"> </w:t>
      </w:r>
      <w:r w:rsidR="0010654D">
        <w:rPr>
          <w:noProof/>
        </w:rPr>
        <w:t>8</w:t>
      </w:r>
      <w:r w:rsidR="004D302F">
        <w:fldChar w:fldCharType="end"/>
      </w:r>
      <w:r w:rsidRPr="00D56653">
        <w:t>)</w:t>
      </w:r>
      <w:r>
        <w:t>. This implies that the low-elevation terrain within the Red River Valley has no appreciable beneficial effect on mist/fog potential; favorable synoptic-scale setups for regional radiation fog plausibly dominate. The Red River Valley is seemingly too flat and expansive to instigate valley-inversion radiation fogs that typically require narrower valleys and sharper gradients in adjacent terrain. KRDR displayed noticeably lower probabilities within each applied threshold relative to KGFK, KFAR, and KJMS but shared the same trends in temporal extent. With all three other stations in comparative agreement, this underreporting is likely due to ASOS obstruction algorithm issues related to the inherent sensor capabilities at the KRDR site.</w:t>
      </w:r>
    </w:p>
    <w:p w14:paraId="610C7DDE" w14:textId="2676C14C" w:rsidR="008955C2" w:rsidRDefault="008955C2" w:rsidP="005D70A2">
      <w:pPr>
        <w:pStyle w:val="TextFormat"/>
      </w:pPr>
      <w:r>
        <w:lastRenderedPageBreak/>
        <w:t xml:space="preserve">Seasonal and diurnal cycles in mist and/or fog probabilities are evident across all ASOS stations. The daily hourly periods of maximum probabilities coincide with the well-studied bias of fog development during the early morning hours. This morning trend shifts seasonally with the length of daytime; the earliest hours (3 – 5 CST) of maximum probability during the longer summer days and latest hours (7 – 9 CST) during the shorter winter days. The strong wintertime bias in fog potential </w:t>
      </w:r>
      <w:r w:rsidRPr="00E724F4">
        <w:t xml:space="preserve">displayed in </w:t>
      </w:r>
      <w:r w:rsidR="005D70A2">
        <w:fldChar w:fldCharType="begin"/>
      </w:r>
      <w:r w:rsidR="005D70A2">
        <w:instrText xml:space="preserve"> REF _Ref150821472 \h </w:instrText>
      </w:r>
      <w:r w:rsidR="005D70A2">
        <w:fldChar w:fldCharType="separate"/>
      </w:r>
      <w:r w:rsidR="0010654D">
        <w:t xml:space="preserve">Figure </w:t>
      </w:r>
      <w:r w:rsidR="0010654D">
        <w:rPr>
          <w:noProof/>
        </w:rPr>
        <w:t>8</w:t>
      </w:r>
      <w:r w:rsidR="005D70A2">
        <w:fldChar w:fldCharType="end"/>
      </w:r>
      <w:r>
        <w:t xml:space="preserve"> </w:t>
      </w:r>
      <w:r w:rsidRPr="00E724F4">
        <w:t>appears</w:t>
      </w:r>
      <w:r>
        <w:t xml:space="preserve"> to be significantly contaminated by blowing snow events that the ASOS obstruction algorithm fails to distinguish. The sharp cutoff in fog probabilities at the beginning of April and temporal ‘banding’ of higher probabilities during the winter months indicate reoccurring long-duration low-visibility events. Once a 10 </w:t>
      </w:r>
      <w:r w:rsidR="005858A3">
        <w:t>m s</w:t>
      </w:r>
      <w:r w:rsidR="005858A3" w:rsidRPr="001E6CCF">
        <w:rPr>
          <w:vertAlign w:val="superscript"/>
        </w:rPr>
        <w:t>-1</w:t>
      </w:r>
      <w:r>
        <w:t xml:space="preserve"> wind speed threshold is applied, the banding and sharp cutoff disappear almost </w:t>
      </w:r>
      <w:r w:rsidRPr="00E724F4">
        <w:t>entirely (</w:t>
      </w:r>
      <w:r w:rsidR="008C3123">
        <w:fldChar w:fldCharType="begin"/>
      </w:r>
      <w:r w:rsidR="008C3123">
        <w:instrText xml:space="preserve"> REF _Ref150821867 \h </w:instrText>
      </w:r>
      <w:r w:rsidR="008C3123">
        <w:fldChar w:fldCharType="separate"/>
      </w:r>
      <w:r w:rsidR="0010654D">
        <w:t xml:space="preserve">Figure </w:t>
      </w:r>
      <w:r w:rsidR="0010654D">
        <w:rPr>
          <w:noProof/>
        </w:rPr>
        <w:t>10</w:t>
      </w:r>
      <w:r w:rsidR="008C3123">
        <w:fldChar w:fldCharType="end"/>
      </w:r>
      <w:r w:rsidRPr="00E724F4">
        <w:t>).</w:t>
      </w:r>
      <w:r>
        <w:t xml:space="preserve"> While a wintertime bias in potential is still visually evident, it is subtle and negligible compared to the diurnal early morning bias.</w:t>
      </w:r>
    </w:p>
    <w:p w14:paraId="3745A396" w14:textId="34E23D4D" w:rsidR="008955C2" w:rsidRDefault="008955C2" w:rsidP="00B601DF">
      <w:pPr>
        <w:pStyle w:val="TextFormat"/>
      </w:pPr>
      <w:r>
        <w:t>As expected for the northern plains, supercooled mist/fog probabilities are confined to the middle of October through the beginning of April</w:t>
      </w:r>
      <w:r w:rsidRPr="007E4747">
        <w:t xml:space="preserve"> (</w:t>
      </w:r>
      <w:r w:rsidR="008C3123">
        <w:fldChar w:fldCharType="begin"/>
      </w:r>
      <w:r w:rsidR="008C3123">
        <w:instrText xml:space="preserve"> REF _Ref150822209 \h </w:instrText>
      </w:r>
      <w:r w:rsidR="008C3123">
        <w:fldChar w:fldCharType="separate"/>
      </w:r>
      <w:r w:rsidR="0010654D">
        <w:t xml:space="preserve">Figure </w:t>
      </w:r>
      <w:r w:rsidR="0010654D">
        <w:rPr>
          <w:noProof/>
        </w:rPr>
        <w:t>11</w:t>
      </w:r>
      <w:r w:rsidR="008C3123">
        <w:fldChar w:fldCharType="end"/>
      </w:r>
      <w:r w:rsidRPr="007E4747">
        <w:t>).</w:t>
      </w:r>
      <w:r>
        <w:t xml:space="preserve"> The greatest probabilities are correlated to the early morning hours of February and March. Not coincidentally, this is concurrent with seasonal snowmelt in the northern Great Plains. The injection of meltwater into thawing soils aids in the process of fog development, resulting in an increased potential for surface visibility reductions. While these trends are observed within all ASOS stations, it is most enhanced at KGFK and KFAR where seasonal flooding from the nearby Red River is a yearly occurrence.</w:t>
      </w:r>
    </w:p>
    <w:p w14:paraId="06DB4D2B" w14:textId="371C7ADD" w:rsidR="00B601DF" w:rsidRDefault="008955C2" w:rsidP="00B601DF">
      <w:pPr>
        <w:pStyle w:val="TextFormat"/>
      </w:pPr>
      <w:r>
        <w:t xml:space="preserve">To quantify the amount of fog and/or mist occurrences the Red River Valley experiences over a </w:t>
      </w:r>
      <w:r w:rsidRPr="00ED0C6D">
        <w:t>year</w:t>
      </w:r>
      <w:r w:rsidR="00ED0C6D" w:rsidRPr="00ED0C6D">
        <w:t>,</w:t>
      </w:r>
      <w:r w:rsidR="00ED0C6D">
        <w:t xml:space="preserve"> </w:t>
      </w:r>
      <w:r w:rsidR="00ED0C6D">
        <w:fldChar w:fldCharType="begin"/>
      </w:r>
      <w:r w:rsidR="00ED0C6D">
        <w:instrText xml:space="preserve"> REF _Ref150685258 \h </w:instrText>
      </w:r>
      <w:r w:rsidR="00B601DF">
        <w:instrText xml:space="preserve"> \* MERGEFORMAT </w:instrText>
      </w:r>
      <w:r w:rsidR="00ED0C6D">
        <w:fldChar w:fldCharType="separate"/>
      </w:r>
      <w:r w:rsidR="0010654D" w:rsidRPr="00E5672D">
        <w:t xml:space="preserve">Table </w:t>
      </w:r>
      <w:r w:rsidR="0010654D">
        <w:rPr>
          <w:noProof/>
        </w:rPr>
        <w:t>6</w:t>
      </w:r>
      <w:r w:rsidR="00ED0C6D">
        <w:fldChar w:fldCharType="end"/>
      </w:r>
      <w:r w:rsidR="00ED0C6D">
        <w:t xml:space="preserve"> </w:t>
      </w:r>
      <w:r w:rsidRPr="00ED0C6D">
        <w:t>displays</w:t>
      </w:r>
      <w:r>
        <w:t xml:space="preserve"> rates of yearly occurrence at KGFK by dividing the total observed hourly occurrences by the 30 years of the climatological study, organizing the results through temperature, wind, and present weather type thresholds. Each year, there are on average 129 </w:t>
      </w:r>
      <w:r>
        <w:lastRenderedPageBreak/>
        <w:t xml:space="preserve">occurrences of mist and/or fog where a 10 </w:t>
      </w:r>
      <w:r w:rsidR="005858A3">
        <w:t>m s</w:t>
      </w:r>
      <w:r w:rsidR="005858A3" w:rsidRPr="001E6CCF">
        <w:rPr>
          <w:vertAlign w:val="superscript"/>
        </w:rPr>
        <w:t>-1</w:t>
      </w:r>
      <w:r>
        <w:t xml:space="preserve"> wind threshold is applied. If the wind threshold is lowered to 5 meters per second, the occurrence rate per year drops to 53. If only instances of supercooled fog are recorded using a 5 </w:t>
      </w:r>
      <w:r w:rsidR="005858A3">
        <w:t>m s</w:t>
      </w:r>
      <w:r w:rsidR="005858A3" w:rsidRPr="007D6FAB">
        <w:rPr>
          <w:vertAlign w:val="superscript"/>
        </w:rPr>
        <w:t>-1</w:t>
      </w:r>
      <w:r>
        <w:t xml:space="preserve"> wind threshold, there are on average 14 reported occurrences of supercooled fog per year at KGFK. The substantial decreases of occurrence rate with lower wind speed thresholds suggests that blowing snow events may still be contaminating the ASOS obstruction algorithm at wind speeds below 10 </w:t>
      </w:r>
      <w:r w:rsidR="005858A3">
        <w:t>m s</w:t>
      </w:r>
      <w:r w:rsidR="005858A3" w:rsidRPr="007D6FAB">
        <w:rPr>
          <w:vertAlign w:val="superscript"/>
        </w:rPr>
        <w:t>-1</w:t>
      </w:r>
      <w:r>
        <w:t xml:space="preserve">. However, a 5 </w:t>
      </w:r>
      <w:r w:rsidR="005858A3">
        <w:t>m s</w:t>
      </w:r>
      <w:r w:rsidR="005858A3" w:rsidRPr="007D6FAB">
        <w:rPr>
          <w:vertAlign w:val="superscript"/>
        </w:rPr>
        <w:t>-1</w:t>
      </w:r>
      <w:r>
        <w:t xml:space="preserve"> threshold is likely sufficient for filtering these events and advective fog scenarios with ambient winds between 5 and 10 </w:t>
      </w:r>
      <w:r w:rsidR="005858A3">
        <w:t>m s</w:t>
      </w:r>
      <w:r w:rsidR="005858A3" w:rsidRPr="007D6FAB">
        <w:rPr>
          <w:vertAlign w:val="superscript"/>
        </w:rPr>
        <w:t>-</w:t>
      </w:r>
      <w:proofErr w:type="gramStart"/>
      <w:r w:rsidR="005858A3" w:rsidRPr="007D6FAB">
        <w:rPr>
          <w:vertAlign w:val="superscript"/>
        </w:rPr>
        <w:t>1</w:t>
      </w:r>
      <w:r>
        <w:t xml:space="preserve"> </w:t>
      </w:r>
      <w:r w:rsidR="005858A3">
        <w:t xml:space="preserve"> </w:t>
      </w:r>
      <w:r>
        <w:t>is</w:t>
      </w:r>
      <w:proofErr w:type="gramEnd"/>
      <w:r>
        <w:t xml:space="preserve"> plausible.</w:t>
      </w:r>
      <w:r w:rsidR="00B601DF">
        <w:br w:type="page"/>
      </w:r>
    </w:p>
    <w:p w14:paraId="20DB5405" w14:textId="3095AE69" w:rsidR="008955C2" w:rsidRPr="00E5672D" w:rsidRDefault="008955C2" w:rsidP="00FD66F4">
      <w:pPr>
        <w:pStyle w:val="TableCaption"/>
      </w:pPr>
      <w:bookmarkStart w:id="217" w:name="_Ref150685258"/>
      <w:bookmarkStart w:id="218" w:name="_Toc150784683"/>
      <w:bookmarkStart w:id="219" w:name="_Toc150826344"/>
      <w:bookmarkStart w:id="220" w:name="_Toc152692074"/>
      <w:r w:rsidRPr="00E5672D">
        <w:lastRenderedPageBreak/>
        <w:t xml:space="preserve">Table </w:t>
      </w:r>
      <w:r w:rsidR="005858A3">
        <w:fldChar w:fldCharType="begin"/>
      </w:r>
      <w:r w:rsidR="005858A3">
        <w:instrText xml:space="preserve"> SEQ Table \* ARABIC </w:instrText>
      </w:r>
      <w:r w:rsidR="005858A3">
        <w:fldChar w:fldCharType="separate"/>
      </w:r>
      <w:r w:rsidR="0010654D">
        <w:rPr>
          <w:noProof/>
        </w:rPr>
        <w:t>6</w:t>
      </w:r>
      <w:r w:rsidR="005858A3">
        <w:rPr>
          <w:noProof/>
        </w:rPr>
        <w:fldChar w:fldCharType="end"/>
      </w:r>
      <w:bookmarkEnd w:id="217"/>
      <w:r w:rsidRPr="00E5672D">
        <w:t>: A table representing average yearly mist and/or fog occurrences recorded by KGFK. Wind speed thresholds are represented on the rows and both temperature and present weather type are represented on the columns. “FG” is the code for fog and “BR” is the code for mist.</w:t>
      </w:r>
      <w:bookmarkEnd w:id="218"/>
      <w:bookmarkEnd w:id="219"/>
      <w:bookmarkEnd w:id="220"/>
      <w:r w:rsidRPr="00E5672D">
        <w:t xml:space="preserve"> </w:t>
      </w:r>
    </w:p>
    <w:tbl>
      <w:tblPr>
        <w:tblpPr w:leftFromText="2736" w:rightFromText="2880" w:bottomFromText="288" w:vertAnchor="text" w:tblpXSpec="center" w:tblpY="1"/>
        <w:tblOverlap w:val="never"/>
        <w:tblW w:w="0" w:type="auto"/>
        <w:tblCellMar>
          <w:left w:w="0" w:type="dxa"/>
        </w:tblCellMar>
        <w:tblLook w:val="04A0" w:firstRow="1" w:lastRow="0" w:firstColumn="1" w:lastColumn="0" w:noHBand="0" w:noVBand="1"/>
      </w:tblPr>
      <w:tblGrid>
        <w:gridCol w:w="1020"/>
        <w:gridCol w:w="1042"/>
        <w:gridCol w:w="1066"/>
        <w:gridCol w:w="877"/>
        <w:gridCol w:w="972"/>
      </w:tblGrid>
      <w:tr w:rsidR="008955C2" w:rsidRPr="00042A47" w14:paraId="5B094D5F" w14:textId="77777777" w:rsidTr="00092EE3">
        <w:trPr>
          <w:trHeight w:val="288"/>
        </w:trPr>
        <w:tc>
          <w:tcPr>
            <w:tcW w:w="0" w:type="auto"/>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19330515" w14:textId="77777777" w:rsidR="008955C2" w:rsidRPr="009827CF" w:rsidRDefault="008955C2" w:rsidP="00092EE3">
            <w:pPr>
              <w:pStyle w:val="Table"/>
              <w:framePr w:hSpace="0" w:wrap="auto" w:vAnchor="margin" w:xAlign="left" w:yAlign="inline"/>
              <w:suppressOverlap w:val="0"/>
            </w:pPr>
            <w:r w:rsidRPr="009827CF">
              <w:t>KGFK</w:t>
            </w:r>
          </w:p>
        </w:tc>
        <w:tc>
          <w:tcPr>
            <w:tcW w:w="0" w:type="auto"/>
            <w:gridSpan w:val="2"/>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556B21F" w14:textId="77777777" w:rsidR="008955C2" w:rsidRPr="009827CF" w:rsidRDefault="008955C2" w:rsidP="00D058D3">
            <w:pPr>
              <w:pStyle w:val="Table"/>
              <w:framePr w:hSpace="0" w:wrap="auto" w:vAnchor="margin" w:xAlign="left" w:yAlign="inline"/>
              <w:suppressOverlap w:val="0"/>
              <w:jc w:val="center"/>
            </w:pPr>
            <w:r w:rsidRPr="009827CF">
              <w:t>"FG" and/or "BR"</w:t>
            </w:r>
          </w:p>
        </w:tc>
        <w:tc>
          <w:tcPr>
            <w:tcW w:w="1417" w:type="dxa"/>
            <w:gridSpan w:val="2"/>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9FC31A4" w14:textId="77777777" w:rsidR="008955C2" w:rsidRPr="009827CF" w:rsidRDefault="008955C2" w:rsidP="00D058D3">
            <w:pPr>
              <w:pStyle w:val="Table"/>
              <w:framePr w:hSpace="0" w:wrap="auto" w:vAnchor="margin" w:xAlign="left" w:yAlign="inline"/>
              <w:suppressOverlap w:val="0"/>
              <w:jc w:val="center"/>
            </w:pPr>
            <w:r w:rsidRPr="009827CF">
              <w:t>"FG" only</w:t>
            </w:r>
          </w:p>
        </w:tc>
      </w:tr>
      <w:tr w:rsidR="008955C2" w:rsidRPr="00042A47" w14:paraId="504993C6" w14:textId="77777777" w:rsidTr="00092EE3">
        <w:trPr>
          <w:trHeight w:val="288"/>
        </w:trPr>
        <w:tc>
          <w:tcPr>
            <w:tcW w:w="0" w:type="auto"/>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0EEA2BD4" w14:textId="77777777" w:rsidR="008955C2" w:rsidRPr="009827CF" w:rsidRDefault="008955C2" w:rsidP="00092EE3">
            <w:pPr>
              <w:pStyle w:val="Table"/>
              <w:framePr w:hSpace="0" w:wrap="auto" w:vAnchor="margin" w:xAlign="left" w:yAlign="inline"/>
              <w:suppressOverlap w:val="0"/>
            </w:pPr>
          </w:p>
        </w:tc>
        <w:tc>
          <w:tcPr>
            <w:tcW w:w="903" w:type="dxa"/>
            <w:tcBorders>
              <w:top w:val="nil"/>
              <w:left w:val="nil"/>
              <w:bottom w:val="single" w:sz="4" w:space="0" w:color="auto"/>
              <w:right w:val="single" w:sz="4" w:space="0" w:color="auto"/>
            </w:tcBorders>
            <w:shd w:val="clear" w:color="auto" w:fill="FFF2CC" w:themeFill="accent4" w:themeFillTint="33"/>
            <w:noWrap/>
            <w:vAlign w:val="center"/>
            <w:hideMark/>
          </w:tcPr>
          <w:p w14:paraId="48A01039" w14:textId="77777777" w:rsidR="008955C2" w:rsidRPr="00B601DF" w:rsidRDefault="008955C2" w:rsidP="00D058D3">
            <w:pPr>
              <w:pStyle w:val="Table"/>
              <w:framePr w:hSpace="0" w:wrap="auto" w:vAnchor="margin" w:xAlign="left" w:yAlign="inline"/>
              <w:suppressOverlap w:val="0"/>
              <w:jc w:val="center"/>
            </w:pPr>
            <w:r w:rsidRPr="00B601DF">
              <w:t>All</w:t>
            </w:r>
          </w:p>
        </w:tc>
        <w:tc>
          <w:tcPr>
            <w:tcW w:w="923" w:type="dxa"/>
            <w:tcBorders>
              <w:top w:val="nil"/>
              <w:left w:val="nil"/>
              <w:bottom w:val="single" w:sz="4" w:space="0" w:color="auto"/>
              <w:right w:val="single" w:sz="4" w:space="0" w:color="auto"/>
            </w:tcBorders>
            <w:shd w:val="clear" w:color="auto" w:fill="FFF2CC" w:themeFill="accent4" w:themeFillTint="33"/>
            <w:vAlign w:val="center"/>
            <w:hideMark/>
          </w:tcPr>
          <w:p w14:paraId="3F9B3AFE" w14:textId="77777777" w:rsidR="008955C2" w:rsidRPr="00B601DF" w:rsidRDefault="008955C2" w:rsidP="00D058D3">
            <w:pPr>
              <w:pStyle w:val="Table"/>
              <w:framePr w:hSpace="0" w:wrap="auto" w:vAnchor="margin" w:xAlign="left" w:yAlign="inline"/>
              <w:suppressOverlap w:val="0"/>
              <w:jc w:val="center"/>
            </w:pPr>
            <w:r w:rsidRPr="00B601DF">
              <w:t>≤ 0 °C</w:t>
            </w:r>
          </w:p>
        </w:tc>
        <w:tc>
          <w:tcPr>
            <w:tcW w:w="0" w:type="auto"/>
            <w:tcBorders>
              <w:top w:val="nil"/>
              <w:left w:val="nil"/>
              <w:bottom w:val="single" w:sz="4" w:space="0" w:color="auto"/>
              <w:right w:val="single" w:sz="4" w:space="0" w:color="auto"/>
            </w:tcBorders>
            <w:shd w:val="clear" w:color="auto" w:fill="FFF2CC" w:themeFill="accent4" w:themeFillTint="33"/>
            <w:noWrap/>
            <w:vAlign w:val="center"/>
            <w:hideMark/>
          </w:tcPr>
          <w:p w14:paraId="4132E569" w14:textId="77777777" w:rsidR="008955C2" w:rsidRPr="00B601DF" w:rsidRDefault="008955C2" w:rsidP="00D058D3">
            <w:pPr>
              <w:pStyle w:val="Table"/>
              <w:framePr w:hSpace="0" w:wrap="auto" w:vAnchor="margin" w:xAlign="left" w:yAlign="inline"/>
              <w:suppressOverlap w:val="0"/>
              <w:jc w:val="center"/>
            </w:pPr>
            <w:r w:rsidRPr="00B601DF">
              <w:t>All</w:t>
            </w:r>
          </w:p>
        </w:tc>
        <w:tc>
          <w:tcPr>
            <w:tcW w:w="972" w:type="dxa"/>
            <w:tcBorders>
              <w:top w:val="nil"/>
              <w:left w:val="nil"/>
              <w:bottom w:val="single" w:sz="4" w:space="0" w:color="auto"/>
              <w:right w:val="single" w:sz="4" w:space="0" w:color="auto"/>
            </w:tcBorders>
            <w:shd w:val="clear" w:color="auto" w:fill="FFF2CC" w:themeFill="accent4" w:themeFillTint="33"/>
            <w:vAlign w:val="center"/>
            <w:hideMark/>
          </w:tcPr>
          <w:p w14:paraId="5897BD64" w14:textId="77777777" w:rsidR="008955C2" w:rsidRPr="00B601DF" w:rsidRDefault="008955C2" w:rsidP="00D058D3">
            <w:pPr>
              <w:pStyle w:val="Table"/>
              <w:framePr w:hSpace="0" w:wrap="auto" w:vAnchor="margin" w:xAlign="left" w:yAlign="inline"/>
              <w:suppressOverlap w:val="0"/>
              <w:jc w:val="center"/>
            </w:pPr>
            <w:r w:rsidRPr="00B601DF">
              <w:t>≤ 0 °C</w:t>
            </w:r>
          </w:p>
        </w:tc>
      </w:tr>
      <w:tr w:rsidR="008955C2" w:rsidRPr="00042A47" w14:paraId="46F4CDEC" w14:textId="77777777" w:rsidTr="00092EE3">
        <w:trPr>
          <w:trHeight w:val="288"/>
        </w:trPr>
        <w:tc>
          <w:tcPr>
            <w:tcW w:w="0" w:type="auto"/>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31B6E2BB" w14:textId="77777777" w:rsidR="008955C2" w:rsidRPr="009827CF" w:rsidRDefault="008955C2" w:rsidP="00092EE3">
            <w:pPr>
              <w:pStyle w:val="Table"/>
              <w:framePr w:hSpace="0" w:wrap="auto" w:vAnchor="margin" w:xAlign="left" w:yAlign="inline"/>
              <w:suppressOverlap w:val="0"/>
            </w:pPr>
            <w:r w:rsidRPr="00042A47">
              <w:t xml:space="preserve">≤ </w:t>
            </w:r>
            <w:r w:rsidRPr="009827CF">
              <w:t>10 m/s</w:t>
            </w:r>
          </w:p>
        </w:tc>
        <w:tc>
          <w:tcPr>
            <w:tcW w:w="903" w:type="dxa"/>
            <w:tcBorders>
              <w:top w:val="nil"/>
              <w:left w:val="nil"/>
              <w:bottom w:val="single" w:sz="4" w:space="0" w:color="auto"/>
              <w:right w:val="single" w:sz="4" w:space="0" w:color="auto"/>
            </w:tcBorders>
            <w:shd w:val="clear" w:color="auto" w:fill="auto"/>
            <w:noWrap/>
            <w:vAlign w:val="center"/>
            <w:hideMark/>
          </w:tcPr>
          <w:p w14:paraId="5024E491"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129</w:t>
            </w:r>
          </w:p>
        </w:tc>
        <w:tc>
          <w:tcPr>
            <w:tcW w:w="923" w:type="dxa"/>
            <w:tcBorders>
              <w:top w:val="nil"/>
              <w:left w:val="nil"/>
              <w:bottom w:val="single" w:sz="4" w:space="0" w:color="auto"/>
              <w:right w:val="single" w:sz="4" w:space="0" w:color="auto"/>
            </w:tcBorders>
            <w:shd w:val="clear" w:color="auto" w:fill="auto"/>
            <w:noWrap/>
            <w:vAlign w:val="center"/>
            <w:hideMark/>
          </w:tcPr>
          <w:p w14:paraId="32617734"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61</w:t>
            </w:r>
          </w:p>
        </w:tc>
        <w:tc>
          <w:tcPr>
            <w:tcW w:w="877" w:type="dxa"/>
            <w:tcBorders>
              <w:top w:val="nil"/>
              <w:left w:val="nil"/>
              <w:bottom w:val="single" w:sz="4" w:space="0" w:color="auto"/>
              <w:right w:val="single" w:sz="4" w:space="0" w:color="auto"/>
            </w:tcBorders>
            <w:shd w:val="clear" w:color="auto" w:fill="auto"/>
            <w:noWrap/>
            <w:vAlign w:val="center"/>
            <w:hideMark/>
          </w:tcPr>
          <w:p w14:paraId="6026C847"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80</w:t>
            </w:r>
          </w:p>
        </w:tc>
        <w:tc>
          <w:tcPr>
            <w:tcW w:w="540" w:type="dxa"/>
            <w:tcBorders>
              <w:top w:val="nil"/>
              <w:left w:val="nil"/>
              <w:bottom w:val="single" w:sz="4" w:space="0" w:color="auto"/>
              <w:right w:val="single" w:sz="4" w:space="0" w:color="auto"/>
            </w:tcBorders>
            <w:shd w:val="clear" w:color="auto" w:fill="auto"/>
            <w:noWrap/>
            <w:vAlign w:val="center"/>
            <w:hideMark/>
          </w:tcPr>
          <w:p w14:paraId="4ADE2316"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37</w:t>
            </w:r>
          </w:p>
        </w:tc>
      </w:tr>
      <w:tr w:rsidR="008955C2" w:rsidRPr="00042A47" w14:paraId="56B14A4F" w14:textId="77777777" w:rsidTr="00092EE3">
        <w:trPr>
          <w:trHeight w:val="288"/>
        </w:trPr>
        <w:tc>
          <w:tcPr>
            <w:tcW w:w="0" w:type="auto"/>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388CA2CA" w14:textId="77777777" w:rsidR="008955C2" w:rsidRPr="009827CF" w:rsidRDefault="008955C2" w:rsidP="00092EE3">
            <w:pPr>
              <w:pStyle w:val="Table"/>
              <w:framePr w:hSpace="0" w:wrap="auto" w:vAnchor="margin" w:xAlign="left" w:yAlign="inline"/>
              <w:suppressOverlap w:val="0"/>
            </w:pPr>
            <w:r w:rsidRPr="00042A47">
              <w:t xml:space="preserve">≤ </w:t>
            </w:r>
            <w:r w:rsidRPr="009827CF">
              <w:t>7.5 m/s</w:t>
            </w:r>
          </w:p>
        </w:tc>
        <w:tc>
          <w:tcPr>
            <w:tcW w:w="903" w:type="dxa"/>
            <w:tcBorders>
              <w:top w:val="nil"/>
              <w:left w:val="nil"/>
              <w:bottom w:val="single" w:sz="4" w:space="0" w:color="auto"/>
              <w:right w:val="single" w:sz="4" w:space="0" w:color="auto"/>
            </w:tcBorders>
            <w:shd w:val="clear" w:color="auto" w:fill="auto"/>
            <w:noWrap/>
            <w:vAlign w:val="center"/>
            <w:hideMark/>
          </w:tcPr>
          <w:p w14:paraId="064DE0E0"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88</w:t>
            </w:r>
          </w:p>
        </w:tc>
        <w:tc>
          <w:tcPr>
            <w:tcW w:w="923" w:type="dxa"/>
            <w:tcBorders>
              <w:top w:val="nil"/>
              <w:left w:val="nil"/>
              <w:bottom w:val="single" w:sz="4" w:space="0" w:color="auto"/>
              <w:right w:val="single" w:sz="4" w:space="0" w:color="auto"/>
            </w:tcBorders>
            <w:shd w:val="clear" w:color="auto" w:fill="auto"/>
            <w:noWrap/>
            <w:vAlign w:val="center"/>
            <w:hideMark/>
          </w:tcPr>
          <w:p w14:paraId="74B89B68"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41</w:t>
            </w:r>
          </w:p>
        </w:tc>
        <w:tc>
          <w:tcPr>
            <w:tcW w:w="0" w:type="auto"/>
            <w:tcBorders>
              <w:top w:val="nil"/>
              <w:left w:val="nil"/>
              <w:bottom w:val="single" w:sz="4" w:space="0" w:color="auto"/>
              <w:right w:val="single" w:sz="4" w:space="0" w:color="auto"/>
            </w:tcBorders>
            <w:shd w:val="clear" w:color="auto" w:fill="auto"/>
            <w:noWrap/>
            <w:vAlign w:val="center"/>
            <w:hideMark/>
          </w:tcPr>
          <w:p w14:paraId="692EE129"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54</w:t>
            </w:r>
          </w:p>
        </w:tc>
        <w:tc>
          <w:tcPr>
            <w:tcW w:w="972" w:type="dxa"/>
            <w:tcBorders>
              <w:top w:val="nil"/>
              <w:left w:val="nil"/>
              <w:bottom w:val="single" w:sz="4" w:space="0" w:color="auto"/>
              <w:right w:val="single" w:sz="4" w:space="0" w:color="auto"/>
            </w:tcBorders>
            <w:shd w:val="clear" w:color="auto" w:fill="auto"/>
            <w:noWrap/>
            <w:vAlign w:val="center"/>
            <w:hideMark/>
          </w:tcPr>
          <w:p w14:paraId="4680CFD0"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24</w:t>
            </w:r>
          </w:p>
        </w:tc>
      </w:tr>
      <w:tr w:rsidR="008955C2" w:rsidRPr="00042A47" w14:paraId="6AD79F38" w14:textId="77777777" w:rsidTr="00092EE3">
        <w:trPr>
          <w:trHeight w:val="288"/>
        </w:trPr>
        <w:tc>
          <w:tcPr>
            <w:tcW w:w="0" w:type="auto"/>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6A7C9A2E" w14:textId="77777777" w:rsidR="008955C2" w:rsidRPr="009827CF" w:rsidRDefault="008955C2" w:rsidP="00092EE3">
            <w:pPr>
              <w:pStyle w:val="Table"/>
              <w:framePr w:hSpace="0" w:wrap="auto" w:vAnchor="margin" w:xAlign="left" w:yAlign="inline"/>
              <w:suppressOverlap w:val="0"/>
            </w:pPr>
            <w:r w:rsidRPr="00042A47">
              <w:t xml:space="preserve">≤ </w:t>
            </w:r>
            <w:r w:rsidRPr="009827CF">
              <w:t>5.0 m/s</w:t>
            </w:r>
          </w:p>
        </w:tc>
        <w:tc>
          <w:tcPr>
            <w:tcW w:w="903" w:type="dxa"/>
            <w:tcBorders>
              <w:top w:val="nil"/>
              <w:left w:val="nil"/>
              <w:bottom w:val="single" w:sz="4" w:space="0" w:color="auto"/>
              <w:right w:val="single" w:sz="4" w:space="0" w:color="auto"/>
            </w:tcBorders>
            <w:shd w:val="clear" w:color="auto" w:fill="auto"/>
            <w:noWrap/>
            <w:vAlign w:val="center"/>
            <w:hideMark/>
          </w:tcPr>
          <w:p w14:paraId="4933BC9D"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53</w:t>
            </w:r>
          </w:p>
        </w:tc>
        <w:tc>
          <w:tcPr>
            <w:tcW w:w="923" w:type="dxa"/>
            <w:tcBorders>
              <w:top w:val="nil"/>
              <w:left w:val="nil"/>
              <w:bottom w:val="single" w:sz="4" w:space="0" w:color="auto"/>
              <w:right w:val="single" w:sz="4" w:space="0" w:color="auto"/>
            </w:tcBorders>
            <w:shd w:val="clear" w:color="auto" w:fill="auto"/>
            <w:noWrap/>
            <w:vAlign w:val="center"/>
            <w:hideMark/>
          </w:tcPr>
          <w:p w14:paraId="60D7AE12"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24</w:t>
            </w:r>
          </w:p>
        </w:tc>
        <w:tc>
          <w:tcPr>
            <w:tcW w:w="0" w:type="auto"/>
            <w:tcBorders>
              <w:top w:val="nil"/>
              <w:left w:val="nil"/>
              <w:bottom w:val="single" w:sz="4" w:space="0" w:color="auto"/>
              <w:right w:val="single" w:sz="4" w:space="0" w:color="auto"/>
            </w:tcBorders>
            <w:shd w:val="clear" w:color="auto" w:fill="auto"/>
            <w:noWrap/>
            <w:vAlign w:val="center"/>
            <w:hideMark/>
          </w:tcPr>
          <w:p w14:paraId="4D3DDCFA"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32</w:t>
            </w:r>
          </w:p>
        </w:tc>
        <w:tc>
          <w:tcPr>
            <w:tcW w:w="972" w:type="dxa"/>
            <w:tcBorders>
              <w:top w:val="nil"/>
              <w:left w:val="nil"/>
              <w:bottom w:val="single" w:sz="4" w:space="0" w:color="auto"/>
              <w:right w:val="single" w:sz="4" w:space="0" w:color="auto"/>
            </w:tcBorders>
            <w:shd w:val="clear" w:color="auto" w:fill="auto"/>
            <w:noWrap/>
            <w:vAlign w:val="center"/>
            <w:hideMark/>
          </w:tcPr>
          <w:p w14:paraId="59534700" w14:textId="77777777" w:rsidR="008955C2" w:rsidRPr="00D058D3" w:rsidRDefault="008955C2" w:rsidP="00D058D3">
            <w:pPr>
              <w:pStyle w:val="Table"/>
              <w:framePr w:hSpace="0" w:wrap="auto" w:vAnchor="margin" w:xAlign="left" w:yAlign="inline"/>
              <w:suppressOverlap w:val="0"/>
              <w:jc w:val="right"/>
              <w:rPr>
                <w:b w:val="0"/>
                <w:bCs w:val="0"/>
              </w:rPr>
            </w:pPr>
            <w:r w:rsidRPr="00D058D3">
              <w:rPr>
                <w:b w:val="0"/>
                <w:bCs w:val="0"/>
              </w:rPr>
              <w:t>14</w:t>
            </w:r>
          </w:p>
        </w:tc>
      </w:tr>
    </w:tbl>
    <w:p w14:paraId="00CC942A" w14:textId="3D8C11E5" w:rsidR="008955C2" w:rsidRDefault="008955C2" w:rsidP="004D302F">
      <w:pPr>
        <w:pStyle w:val="TextFormat"/>
      </w:pPr>
      <w:r>
        <w:t xml:space="preserve">To further aid in visualization of seasonal </w:t>
      </w:r>
      <w:r w:rsidRPr="00D756CF">
        <w:t xml:space="preserve">patterns, </w:t>
      </w:r>
      <w:r w:rsidR="004A62CB">
        <w:fldChar w:fldCharType="begin"/>
      </w:r>
      <w:r w:rsidR="004A62CB">
        <w:instrText xml:space="preserve"> REF _Ref152693064 \h </w:instrText>
      </w:r>
      <w:r w:rsidR="004A62CB">
        <w:fldChar w:fldCharType="separate"/>
      </w:r>
      <w:r w:rsidR="004A62CB">
        <w:t xml:space="preserve">Figure </w:t>
      </w:r>
      <w:r w:rsidR="004A62CB">
        <w:rPr>
          <w:noProof/>
        </w:rPr>
        <w:t>38</w:t>
      </w:r>
      <w:r w:rsidR="004A62CB">
        <w:fldChar w:fldCharType="end"/>
      </w:r>
      <w:r w:rsidRPr="00D756CF">
        <w:t xml:space="preserve"> displays</w:t>
      </w:r>
      <w:r>
        <w:t xml:space="preserve"> a histogram of total fog occurrences </w:t>
      </w:r>
      <w:r w:rsidR="00F45FE2">
        <w:t>through the 30</w:t>
      </w:r>
      <w:r w:rsidR="005858A3">
        <w:t xml:space="preserve"> </w:t>
      </w:r>
      <w:proofErr w:type="spellStart"/>
      <w:r w:rsidR="005858A3">
        <w:t>yr</w:t>
      </w:r>
      <w:proofErr w:type="spellEnd"/>
      <w:r w:rsidR="00F45FE2">
        <w:t xml:space="preserve"> climatological analysis, </w:t>
      </w:r>
      <w:r>
        <w:t xml:space="preserve">grouped by calendar day with an applied 10 </w:t>
      </w:r>
      <w:r w:rsidR="005858A3">
        <w:t>m s</w:t>
      </w:r>
      <w:r w:rsidR="005858A3" w:rsidRPr="007D6FAB">
        <w:rPr>
          <w:vertAlign w:val="superscript"/>
        </w:rPr>
        <w:t>-1</w:t>
      </w:r>
      <w:r>
        <w:t xml:space="preserve"> wind threshold. 20</w:t>
      </w:r>
      <w:r w:rsidR="005858A3">
        <w:t xml:space="preserve"> </w:t>
      </w:r>
      <w:r>
        <w:t xml:space="preserve">day rolling averages across all ASOS stations emphasize late February through the end of March as the climatological bullseye for fog occurrences. Secondary smaller maximums occur during August through early September (warm fogs), and November through early December (cold fogs). Implementing a 0 °C </w:t>
      </w:r>
      <w:r w:rsidRPr="00577787">
        <w:t>threshold (</w:t>
      </w:r>
      <w:r w:rsidR="004A62CB">
        <w:fldChar w:fldCharType="begin"/>
      </w:r>
      <w:r w:rsidR="004A62CB">
        <w:instrText xml:space="preserve"> REF _Ref152693072 \h </w:instrText>
      </w:r>
      <w:r w:rsidR="004A62CB">
        <w:fldChar w:fldCharType="separate"/>
      </w:r>
      <w:r w:rsidR="004A62CB">
        <w:t xml:space="preserve">Figure </w:t>
      </w:r>
      <w:r w:rsidR="004A62CB">
        <w:rPr>
          <w:noProof/>
        </w:rPr>
        <w:t>39</w:t>
      </w:r>
      <w:r w:rsidR="004A62CB">
        <w:fldChar w:fldCharType="end"/>
      </w:r>
      <w:r w:rsidRPr="00577787">
        <w:t>), supercooled</w:t>
      </w:r>
      <w:r>
        <w:t xml:space="preserve"> fog occurrences begin in early November and end by the beginning of April, peaking during the month of March. This further highlights the seasonality identified in the heatmaps and successfully displays potential operational periods for UAS fog dispersal operations in the Red River Valley.</w:t>
      </w:r>
    </w:p>
    <w:p w14:paraId="0A552845" w14:textId="77777777" w:rsidR="003A57E4" w:rsidRDefault="003A57E4" w:rsidP="003A57E4">
      <w:pPr>
        <w:pStyle w:val="Figure"/>
        <w:keepNext/>
      </w:pPr>
      <w:r>
        <w:lastRenderedPageBreak/>
        <w:drawing>
          <wp:inline distT="0" distB="0" distL="0" distR="0" wp14:anchorId="6EF418CE" wp14:editId="63FB1E21">
            <wp:extent cx="5943600" cy="3507740"/>
            <wp:effectExtent l="0" t="0" r="0" b="0"/>
            <wp:docPr id="1088349752" name="Picture 1" descr="A graph of a graph of the stock mar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349752" name="Picture 1" descr="A graph of a graph of the stock market&#10;&#10;Description automatically generated with medium confidence"/>
                    <pic:cNvPicPr/>
                  </pic:nvPicPr>
                  <pic:blipFill>
                    <a:blip r:embed="rId49"/>
                    <a:stretch>
                      <a:fillRect/>
                    </a:stretch>
                  </pic:blipFill>
                  <pic:spPr>
                    <a:xfrm>
                      <a:off x="0" y="0"/>
                      <a:ext cx="5943600" cy="3507740"/>
                    </a:xfrm>
                    <a:prstGeom prst="rect">
                      <a:avLst/>
                    </a:prstGeom>
                  </pic:spPr>
                </pic:pic>
              </a:graphicData>
            </a:graphic>
          </wp:inline>
        </w:drawing>
      </w:r>
    </w:p>
    <w:p w14:paraId="223C6848" w14:textId="3CF7DF84" w:rsidR="00B601DF" w:rsidRDefault="003A57E4" w:rsidP="004D302F">
      <w:pPr>
        <w:pStyle w:val="FigureCaption"/>
      </w:pPr>
      <w:bookmarkStart w:id="221" w:name="_Ref152693064"/>
      <w:bookmarkStart w:id="222" w:name="_Toc152692067"/>
      <w:r>
        <w:t xml:space="preserve">Figure </w:t>
      </w:r>
      <w:r w:rsidR="00F208F0">
        <w:fldChar w:fldCharType="begin"/>
      </w:r>
      <w:r w:rsidR="00F208F0">
        <w:instrText xml:space="preserve"> SEQ Figure \* ARABIC </w:instrText>
      </w:r>
      <w:r w:rsidR="00F208F0">
        <w:fldChar w:fldCharType="separate"/>
      </w:r>
      <w:r w:rsidR="00E337FD">
        <w:rPr>
          <w:noProof/>
        </w:rPr>
        <w:t>38</w:t>
      </w:r>
      <w:r w:rsidR="00F208F0">
        <w:rPr>
          <w:noProof/>
        </w:rPr>
        <w:fldChar w:fldCharType="end"/>
      </w:r>
      <w:bookmarkStart w:id="223" w:name="_Toc150698179"/>
      <w:bookmarkStart w:id="224" w:name="_Toc150818440"/>
      <w:bookmarkEnd w:id="221"/>
      <w:r w:rsidRPr="00E5672D">
        <w:t xml:space="preserve">. </w:t>
      </w:r>
      <w:r>
        <w:t>A plot representing the t</w:t>
      </w:r>
      <w:r w:rsidRPr="00E5672D">
        <w:t>otal hourly fog occurrences</w:t>
      </w:r>
      <w:r>
        <w:t xml:space="preserve"> for the 1989-2019 climatological sampling period</w:t>
      </w:r>
      <w:r w:rsidRPr="00E5672D">
        <w:t xml:space="preserve"> below a 10 </w:t>
      </w:r>
      <w:r w:rsidR="005858A3">
        <w:t>m s</w:t>
      </w:r>
      <w:r w:rsidR="005858A3" w:rsidRPr="007D6FAB">
        <w:rPr>
          <w:vertAlign w:val="superscript"/>
        </w:rPr>
        <w:t>-1</w:t>
      </w:r>
      <w:r w:rsidRPr="00E5672D">
        <w:t xml:space="preserve"> threshold, grouped by calendar day and visualized through 20</w:t>
      </w:r>
      <w:r w:rsidR="005858A3">
        <w:t xml:space="preserve"> </w:t>
      </w:r>
      <w:r w:rsidRPr="00E5672D">
        <w:t xml:space="preserve">day rolling averages for each station. The </w:t>
      </w:r>
      <w:r>
        <w:t xml:space="preserve">light </w:t>
      </w:r>
      <w:r w:rsidRPr="00E5672D">
        <w:t>blue histogram is of KGFK for reference.</w:t>
      </w:r>
      <w:bookmarkEnd w:id="223"/>
      <w:bookmarkEnd w:id="224"/>
      <w:bookmarkEnd w:id="222"/>
      <w:r w:rsidR="00B601DF">
        <w:br w:type="page"/>
      </w:r>
    </w:p>
    <w:p w14:paraId="12E0C612" w14:textId="77777777" w:rsidR="003A57E4" w:rsidRDefault="003A57E4" w:rsidP="003A57E4">
      <w:pPr>
        <w:pStyle w:val="Figure"/>
        <w:keepNext/>
      </w:pPr>
      <w:bookmarkStart w:id="225" w:name="_Toc150698180"/>
      <w:bookmarkStart w:id="226" w:name="_Toc150818441"/>
      <w:bookmarkStart w:id="227" w:name="_Ref150515075"/>
      <w:r>
        <w:lastRenderedPageBreak/>
        <w:drawing>
          <wp:inline distT="0" distB="0" distL="0" distR="0" wp14:anchorId="570D6923" wp14:editId="5E9412BA">
            <wp:extent cx="5943600" cy="3507740"/>
            <wp:effectExtent l="0" t="0" r="0" b="0"/>
            <wp:docPr id="1114561468"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61468" name="Picture 1" descr="A graph of a graph&#10;&#10;Description automatically generated"/>
                    <pic:cNvPicPr/>
                  </pic:nvPicPr>
                  <pic:blipFill>
                    <a:blip r:embed="rId50"/>
                    <a:stretch>
                      <a:fillRect/>
                    </a:stretch>
                  </pic:blipFill>
                  <pic:spPr>
                    <a:xfrm>
                      <a:off x="0" y="0"/>
                      <a:ext cx="5943600" cy="3507740"/>
                    </a:xfrm>
                    <a:prstGeom prst="rect">
                      <a:avLst/>
                    </a:prstGeom>
                  </pic:spPr>
                </pic:pic>
              </a:graphicData>
            </a:graphic>
          </wp:inline>
        </w:drawing>
      </w:r>
    </w:p>
    <w:p w14:paraId="57AC02AA" w14:textId="3173CD2B" w:rsidR="004D302F" w:rsidRDefault="003A57E4" w:rsidP="003A57E4">
      <w:pPr>
        <w:pStyle w:val="FigureCaption"/>
        <w:rPr>
          <w:noProof/>
        </w:rPr>
      </w:pPr>
      <w:bookmarkStart w:id="228" w:name="_Ref152693072"/>
      <w:bookmarkStart w:id="229" w:name="_Toc152692068"/>
      <w:r>
        <w:t xml:space="preserve">Figure </w:t>
      </w:r>
      <w:r w:rsidR="00F208F0">
        <w:fldChar w:fldCharType="begin"/>
      </w:r>
      <w:r w:rsidR="00F208F0">
        <w:instrText xml:space="preserve"> SEQ Figure \* ARABIC </w:instrText>
      </w:r>
      <w:r w:rsidR="00F208F0">
        <w:fldChar w:fldCharType="separate"/>
      </w:r>
      <w:r w:rsidR="00E337FD">
        <w:rPr>
          <w:noProof/>
        </w:rPr>
        <w:t>39</w:t>
      </w:r>
      <w:r w:rsidR="00F208F0">
        <w:rPr>
          <w:noProof/>
        </w:rPr>
        <w:fldChar w:fldCharType="end"/>
      </w:r>
      <w:bookmarkEnd w:id="228"/>
      <w:r w:rsidRPr="004D302F">
        <w:t xml:space="preserve">. A plot with the same format as </w:t>
      </w:r>
      <w:r w:rsidR="004A62CB">
        <w:fldChar w:fldCharType="begin"/>
      </w:r>
      <w:r w:rsidR="004A62CB">
        <w:instrText xml:space="preserve"> REF _Ref152693064 \h </w:instrText>
      </w:r>
      <w:r w:rsidR="004A62CB">
        <w:fldChar w:fldCharType="separate"/>
      </w:r>
      <w:r w:rsidR="004A62CB">
        <w:t xml:space="preserve">Figure </w:t>
      </w:r>
      <w:r w:rsidR="004A62CB">
        <w:rPr>
          <w:noProof/>
        </w:rPr>
        <w:t>38</w:t>
      </w:r>
      <w:r w:rsidR="004A62CB">
        <w:fldChar w:fldCharType="end"/>
      </w:r>
      <w:r w:rsidRPr="004D302F">
        <w:t xml:space="preserve"> but with a ≤ 0 °C threshold</w:t>
      </w:r>
      <w:r>
        <w:t>.</w:t>
      </w:r>
      <w:bookmarkEnd w:id="229"/>
    </w:p>
    <w:bookmarkEnd w:id="225"/>
    <w:bookmarkEnd w:id="226"/>
    <w:bookmarkEnd w:id="227"/>
    <w:p w14:paraId="3F3DCB4B" w14:textId="4908006A" w:rsidR="008955C2" w:rsidRDefault="008955C2" w:rsidP="00C51F37">
      <w:pPr>
        <w:pStyle w:val="TextFormat"/>
        <w:rPr>
          <w:rFonts w:eastAsiaTheme="minorEastAsia"/>
        </w:rPr>
      </w:pPr>
      <w:r w:rsidRPr="007D6147">
        <w:t xml:space="preserve">The IMet-XQ2 temperature sensor displays a high degree of accuracy in relation to the CS125 and WXT536 temperature sensors; demonstrated by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oMath>
      <w:r w:rsidRPr="007D6147">
        <w:rPr>
          <w:rFonts w:eastAsiaTheme="minorEastAsia"/>
        </w:rPr>
        <w:t>-values near 1.0 and a one-to-one (</w:t>
      </w:r>
      <m:oMath>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1</m:t>
            </m:r>
          </m:sub>
        </m:sSub>
        <m:r>
          <w:rPr>
            <w:rFonts w:ascii="Cambria Math" w:hAnsi="Cambria Math"/>
          </w:rPr>
          <m:t>≈1</m:t>
        </m:r>
      </m:oMath>
      <w:r w:rsidRPr="007D6147">
        <w:rPr>
          <w:rFonts w:eastAsiaTheme="minorEastAsia"/>
        </w:rPr>
        <w:t>) relationship</w:t>
      </w:r>
      <w:r w:rsidR="005D70A2">
        <w:rPr>
          <w:rFonts w:eastAsiaTheme="minorEastAsia"/>
        </w:rPr>
        <w:t xml:space="preserve"> (</w:t>
      </w:r>
      <w:r w:rsidR="005D70A2">
        <w:rPr>
          <w:rFonts w:eastAsiaTheme="minorEastAsia"/>
        </w:rPr>
        <w:fldChar w:fldCharType="begin"/>
      </w:r>
      <w:r w:rsidR="005D70A2">
        <w:rPr>
          <w:rFonts w:eastAsiaTheme="minorEastAsia"/>
        </w:rPr>
        <w:instrText xml:space="preserve"> REF _Ref150981824 \h </w:instrText>
      </w:r>
      <w:r w:rsidR="005D70A2">
        <w:rPr>
          <w:rFonts w:eastAsiaTheme="minorEastAsia"/>
        </w:rPr>
      </w:r>
      <w:r w:rsidR="005D70A2">
        <w:rPr>
          <w:rFonts w:eastAsiaTheme="minorEastAsia"/>
        </w:rPr>
        <w:fldChar w:fldCharType="separate"/>
      </w:r>
      <w:r w:rsidR="0010654D">
        <w:t xml:space="preserve">Figure </w:t>
      </w:r>
      <w:r w:rsidR="0010654D">
        <w:rPr>
          <w:noProof/>
        </w:rPr>
        <w:t>12</w:t>
      </w:r>
      <w:r w:rsidR="005D70A2">
        <w:rPr>
          <w:rFonts w:eastAsiaTheme="minorEastAsia"/>
        </w:rPr>
        <w:fldChar w:fldCharType="end"/>
      </w:r>
      <w:r w:rsidR="005D70A2">
        <w:rPr>
          <w:rFonts w:eastAsiaTheme="minorEastAsia"/>
        </w:rPr>
        <w:t>)</w:t>
      </w:r>
      <w:r w:rsidRPr="007D6147">
        <w:rPr>
          <w:rFonts w:eastAsiaTheme="minorEastAsia"/>
        </w:rPr>
        <w:t xml:space="preserve">. </w:t>
      </w:r>
      <w:r>
        <w:rPr>
          <w:rFonts w:eastAsiaTheme="minorEastAsia"/>
        </w:rPr>
        <w:t xml:space="preserve">A tight clustering of the residuals demonstrates a high degree of precision for both </w:t>
      </w:r>
      <w:r w:rsidR="00392460">
        <w:rPr>
          <w:rFonts w:eastAsiaTheme="minorEastAsia"/>
        </w:rPr>
        <w:t>sensor</w:t>
      </w:r>
      <w:r>
        <w:rPr>
          <w:rFonts w:eastAsiaTheme="minorEastAsia"/>
        </w:rPr>
        <w:t xml:space="preserve"> comparisons. </w:t>
      </w:r>
      <w:r w:rsidRPr="007D6147">
        <w:rPr>
          <w:rFonts w:eastAsiaTheme="minorEastAsia"/>
        </w:rPr>
        <w:t xml:space="preserve">While the IMet-XQ2 relative humidity sensor displays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oMath>
      <w:r w:rsidRPr="007D6147">
        <w:rPr>
          <w:rFonts w:eastAsiaTheme="minorEastAsia"/>
        </w:rPr>
        <w:t xml:space="preserve">-values above 0.95, </w:t>
      </w:r>
      <m:oMath>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r>
              <w:rPr>
                <w:rFonts w:ascii="Cambria Math" w:hAnsi="Cambria Math"/>
              </w:rPr>
              <m:t>1</m:t>
            </m:r>
          </m:sub>
        </m:sSub>
      </m:oMath>
      <w:r w:rsidRPr="007D6147">
        <w:rPr>
          <w:rFonts w:eastAsiaTheme="minorEastAsia"/>
        </w:rPr>
        <w:t xml:space="preserve"> values less than 1.0 indicate that the sensor consistently underestimates relative humidities compared to the CS125 and WXT536</w:t>
      </w:r>
      <w:r w:rsidR="00C51F37">
        <w:rPr>
          <w:rFonts w:eastAsiaTheme="minorEastAsia"/>
        </w:rPr>
        <w:t xml:space="preserve"> (</w:t>
      </w:r>
      <w:r w:rsidR="00C51F37">
        <w:rPr>
          <w:rFonts w:eastAsiaTheme="minorEastAsia"/>
        </w:rPr>
        <w:fldChar w:fldCharType="begin"/>
      </w:r>
      <w:r w:rsidR="00C51F37">
        <w:rPr>
          <w:rFonts w:eastAsiaTheme="minorEastAsia"/>
        </w:rPr>
        <w:instrText xml:space="preserve"> REF _Ref150981865 \h </w:instrText>
      </w:r>
      <w:r w:rsidR="00C51F37">
        <w:rPr>
          <w:rFonts w:eastAsiaTheme="minorEastAsia"/>
        </w:rPr>
      </w:r>
      <w:r w:rsidR="00C51F37">
        <w:rPr>
          <w:rFonts w:eastAsiaTheme="minorEastAsia"/>
        </w:rPr>
        <w:fldChar w:fldCharType="separate"/>
      </w:r>
      <w:r w:rsidR="0010654D">
        <w:t xml:space="preserve">Figure </w:t>
      </w:r>
      <w:r w:rsidR="0010654D">
        <w:rPr>
          <w:noProof/>
        </w:rPr>
        <w:t>13</w:t>
      </w:r>
      <w:r w:rsidR="00C51F37">
        <w:rPr>
          <w:rFonts w:eastAsiaTheme="minorEastAsia"/>
        </w:rPr>
        <w:fldChar w:fldCharType="end"/>
      </w:r>
      <w:r w:rsidR="00C51F37">
        <w:rPr>
          <w:rFonts w:eastAsiaTheme="minorEastAsia"/>
        </w:rPr>
        <w:t>)</w:t>
      </w:r>
      <w:r w:rsidRPr="007D6147">
        <w:rPr>
          <w:rFonts w:eastAsiaTheme="minorEastAsia"/>
        </w:rPr>
        <w:t xml:space="preserve">. This is especially apparent at higher relative humidities, where CS125 and WXT536 relative humidities near 100 percent correlate with IMet-XQ2 relative humidities that never increase above 90 percent. Radiation shielding around the IMet-XQ2 may have prevented sufficient aspiration to the relative humidity sensor and caused </w:t>
      </w:r>
      <w:r>
        <w:rPr>
          <w:rFonts w:eastAsiaTheme="minorEastAsia"/>
        </w:rPr>
        <w:t>errors in estimation</w:t>
      </w:r>
      <w:r w:rsidRPr="007D6147">
        <w:rPr>
          <w:rFonts w:eastAsiaTheme="minorEastAsia"/>
        </w:rPr>
        <w:t>.</w:t>
      </w:r>
      <w:r>
        <w:rPr>
          <w:rFonts w:eastAsiaTheme="minorEastAsia"/>
        </w:rPr>
        <w:t xml:space="preserve"> There is a tighter clustering of residuals at lower relative humidities (less than 40 percent) compared to higher relative humidities (greater than 60 percent) for both </w:t>
      </w:r>
      <w:r w:rsidR="00392460">
        <w:rPr>
          <w:rFonts w:eastAsiaTheme="minorEastAsia"/>
        </w:rPr>
        <w:t>sensor</w:t>
      </w:r>
      <w:r>
        <w:rPr>
          <w:rFonts w:eastAsiaTheme="minorEastAsia"/>
        </w:rPr>
        <w:t xml:space="preserve"> comparisons. </w:t>
      </w:r>
      <w:r w:rsidRPr="00164577">
        <w:rPr>
          <w:rFonts w:eastAsiaTheme="minorEastAsia"/>
        </w:rPr>
        <w:t xml:space="preserve">The MiniOFS visibility measurements struggled to correlate linearly </w:t>
      </w:r>
      <w:r w:rsidRPr="00164577">
        <w:rPr>
          <w:rFonts w:eastAsiaTheme="minorEastAsia"/>
        </w:rPr>
        <w:lastRenderedPageBreak/>
        <w:t xml:space="preserve">with the CS125 using </w:t>
      </w:r>
      <w:r w:rsidR="00164577">
        <w:rPr>
          <w:rFonts w:eastAsiaTheme="minorEastAsia"/>
        </w:rPr>
        <w:t xml:space="preserve">a </w:t>
      </w:r>
      <w:r w:rsidRPr="00164577">
        <w:rPr>
          <w:rFonts w:eastAsiaTheme="minorEastAsia"/>
        </w:rPr>
        <w:t>4-kilometer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r>
          <w:rPr>
            <w:rFonts w:ascii="Cambria Math" w:eastAsiaTheme="minorEastAsia" w:hAnsi="Cambria Math"/>
          </w:rPr>
          <m:t>=0.646</m:t>
        </m:r>
      </m:oMath>
      <w:r w:rsidRPr="00164577">
        <w:rPr>
          <w:rFonts w:eastAsiaTheme="minorEastAsia"/>
        </w:rPr>
        <w:t>)</w:t>
      </w:r>
      <w:r w:rsidR="00164577">
        <w:rPr>
          <w:rFonts w:eastAsiaTheme="minorEastAsia"/>
        </w:rPr>
        <w:t xml:space="preserve"> threshold.</w:t>
      </w:r>
      <w:r w:rsidRPr="00164577">
        <w:rPr>
          <w:rFonts w:eastAsiaTheme="minorEastAsia"/>
        </w:rPr>
        <w:t xml:space="preserve"> </w:t>
      </w:r>
      <w:r w:rsidR="00164577">
        <w:rPr>
          <w:rFonts w:eastAsiaTheme="minorEastAsia"/>
        </w:rPr>
        <w:t xml:space="preserve">However, no fog occurred during the sampling period. Linear regressions during a fog event displayed increased correlation between the </w:t>
      </w:r>
      <w:r w:rsidR="00392460">
        <w:rPr>
          <w:rFonts w:eastAsiaTheme="minorEastAsia"/>
        </w:rPr>
        <w:t>sensor</w:t>
      </w:r>
      <w:r w:rsidR="00164577">
        <w:rPr>
          <w:rFonts w:eastAsiaTheme="minorEastAsia"/>
        </w:rPr>
        <w:t xml:space="preserve">s. At the lowest visibilities however, </w:t>
      </w:r>
      <w:r w:rsidR="003D6DE9">
        <w:rPr>
          <w:rFonts w:eastAsiaTheme="minorEastAsia"/>
        </w:rPr>
        <w:t xml:space="preserve">correlation decreases and the </w:t>
      </w:r>
      <w:r w:rsidR="00164577">
        <w:rPr>
          <w:rFonts w:eastAsiaTheme="minorEastAsia"/>
        </w:rPr>
        <w:t>MiniOFS substantially overestimates visibility compared to the CS125</w:t>
      </w:r>
      <w:r w:rsidR="003D6DE9">
        <w:rPr>
          <w:rFonts w:eastAsiaTheme="minorEastAsia"/>
        </w:rPr>
        <w:t xml:space="preserve">. This suggests a nonlinear relationship between the two </w:t>
      </w:r>
      <w:r w:rsidR="00392460">
        <w:rPr>
          <w:rFonts w:eastAsiaTheme="minorEastAsia"/>
        </w:rPr>
        <w:t>sensor</w:t>
      </w:r>
      <w:r w:rsidR="003D6DE9">
        <w:rPr>
          <w:rFonts w:eastAsiaTheme="minorEastAsia"/>
        </w:rPr>
        <w:t xml:space="preserve">s below 4000 m visibilities. </w:t>
      </w:r>
    </w:p>
    <w:p w14:paraId="13A417BC" w14:textId="5304CB8E" w:rsidR="008955C2" w:rsidRPr="00476C0D" w:rsidRDefault="008955C2" w:rsidP="00B601DF">
      <w:pPr>
        <w:pStyle w:val="TextFormat"/>
        <w:rPr>
          <w:rFonts w:eastAsiaTheme="minorEastAsia"/>
        </w:rPr>
      </w:pPr>
      <w:r w:rsidRPr="00476C0D">
        <w:rPr>
          <w:rFonts w:eastAsiaTheme="minorEastAsia"/>
        </w:rPr>
        <w:t xml:space="preserve">The tripod’s platform of instrumentation provided vital surface-based observations during UAS operations and served as a source of long-term observations at ICE headquarters during the project. Internet access, and subsequent remote access to the </w:t>
      </w:r>
      <w:proofErr w:type="spellStart"/>
      <w:r w:rsidRPr="00476C0D">
        <w:rPr>
          <w:rFonts w:eastAsiaTheme="minorEastAsia"/>
        </w:rPr>
        <w:t>Rasbperry</w:t>
      </w:r>
      <w:proofErr w:type="spellEnd"/>
      <w:r w:rsidRPr="00476C0D">
        <w:rPr>
          <w:rFonts w:eastAsiaTheme="minorEastAsia"/>
        </w:rPr>
        <w:t xml:space="preserve"> Pi 4B computer, allowed for efficient monitoring of dataflow and software debugging during times of maintenance. This also helped distinguish power outages at I</w:t>
      </w:r>
      <w:r w:rsidR="005858A3">
        <w:rPr>
          <w:rFonts w:eastAsiaTheme="minorEastAsia"/>
        </w:rPr>
        <w:t>ce Crystal Engineering</w:t>
      </w:r>
      <w:r w:rsidRPr="00476C0D">
        <w:rPr>
          <w:rFonts w:eastAsiaTheme="minorEastAsia"/>
        </w:rPr>
        <w:t xml:space="preserve"> headquarters and malfunctions related to hardware. Visualization on the Grafana open-source software interface allowed for real-time monitoring of various atmospheric phenomena, most notably blowing snow/blizzards and fog. Coupled with visual confirmation via the Raspberry Pi 4B camera module, the decision-making process for UAS missions was resolutely enhanced.</w:t>
      </w:r>
    </w:p>
    <w:p w14:paraId="192F4A96" w14:textId="38D71B8F" w:rsidR="008955C2" w:rsidRPr="00476C0D" w:rsidRDefault="008955C2" w:rsidP="00B601DF">
      <w:pPr>
        <w:pStyle w:val="TextFormat"/>
        <w:rPr>
          <w:rFonts w:eastAsiaTheme="minorEastAsia"/>
        </w:rPr>
      </w:pPr>
      <w:r w:rsidRPr="00476C0D">
        <w:rPr>
          <w:rFonts w:eastAsiaTheme="minorEastAsia"/>
        </w:rPr>
        <w:t xml:space="preserve"> The tripod platform’s usage was not without difficulties. Moisture contamination from snow was a long-standing issue during the winter months that took numerous retrofits to be properly addressed. A lack of efficiently sealed openings allowed wind-blown hydrometeors to travel inside the camera box housing and short the Raspberry Pi 4B computer in multiple incidents. Power fluctuations and outages at I</w:t>
      </w:r>
      <w:r w:rsidR="005858A3">
        <w:rPr>
          <w:rFonts w:eastAsiaTheme="minorEastAsia"/>
        </w:rPr>
        <w:t>ce Crystal Engineering</w:t>
      </w:r>
      <w:r w:rsidRPr="00476C0D">
        <w:rPr>
          <w:rFonts w:eastAsiaTheme="minorEastAsia"/>
        </w:rPr>
        <w:t xml:space="preserve"> headquarters affected the operational capacity of the tripod, with manual reconnection with the power source almost always required to restart the Raspberry Pi 4B. Icing events were particularly damaging to the platform, especially for the MiniOFS optical sensor. Visibility measurements were drastically reduced until ice gradually melted off or was removed. Finally, while the two-meter height of the tripod supported </w:t>
      </w:r>
      <w:r w:rsidRPr="00476C0D">
        <w:rPr>
          <w:rFonts w:eastAsiaTheme="minorEastAsia"/>
        </w:rPr>
        <w:lastRenderedPageBreak/>
        <w:t>identification of numerous fog events, layers of shallow fog just above the surface during the March 15</w:t>
      </w:r>
      <w:r w:rsidRPr="00476C0D">
        <w:rPr>
          <w:rFonts w:eastAsiaTheme="minorEastAsia"/>
          <w:vertAlign w:val="superscript"/>
        </w:rPr>
        <w:t>th</w:t>
      </w:r>
      <w:r w:rsidRPr="00476C0D">
        <w:rPr>
          <w:rFonts w:eastAsiaTheme="minorEastAsia"/>
        </w:rPr>
        <w:t xml:space="preserve"> and 23</w:t>
      </w:r>
      <w:r w:rsidRPr="00476C0D">
        <w:rPr>
          <w:rFonts w:eastAsiaTheme="minorEastAsia"/>
          <w:vertAlign w:val="superscript"/>
        </w:rPr>
        <w:t>rd</w:t>
      </w:r>
      <w:r w:rsidRPr="00476C0D">
        <w:rPr>
          <w:rFonts w:eastAsiaTheme="minorEastAsia"/>
        </w:rPr>
        <w:t xml:space="preserve"> missions were missed entirely.</w:t>
      </w:r>
    </w:p>
    <w:p w14:paraId="464D1450" w14:textId="2F490A80" w:rsidR="008955C2" w:rsidRPr="00476C0D" w:rsidRDefault="008955C2" w:rsidP="00B601DF">
      <w:pPr>
        <w:pStyle w:val="TextFormat"/>
        <w:rPr>
          <w:rFonts w:eastAsiaTheme="minorEastAsia"/>
        </w:rPr>
      </w:pPr>
      <w:r w:rsidRPr="00476C0D">
        <w:rPr>
          <w:rFonts w:eastAsiaTheme="minorEastAsia"/>
        </w:rPr>
        <w:t>The UAV platform functioned as intended for all five flight missions and in full capacity during both low and high visibility conditions. Efficient UAV calibration and startup procedures often led to mission start times shortly after the designated 08:00 CST daybreak</w:t>
      </w:r>
      <w:r>
        <w:rPr>
          <w:rFonts w:eastAsiaTheme="minorEastAsia"/>
        </w:rPr>
        <w:t xml:space="preserve"> threshold</w:t>
      </w:r>
      <w:r w:rsidRPr="00476C0D">
        <w:rPr>
          <w:rFonts w:eastAsiaTheme="minorEastAsia"/>
        </w:rPr>
        <w:t xml:space="preserve">. Two flight times of 45 minutes and 49 minutes overperformed the 30-minute estimates for the four lithium-ion batteries. Swapping of the </w:t>
      </w:r>
      <w:r>
        <w:rPr>
          <w:rFonts w:eastAsiaTheme="minorEastAsia"/>
        </w:rPr>
        <w:t xml:space="preserve">drained </w:t>
      </w:r>
      <w:r w:rsidRPr="00476C0D">
        <w:rPr>
          <w:rFonts w:eastAsiaTheme="minorEastAsia"/>
        </w:rPr>
        <w:t>batteries resulted in minimal periods of mission downtime. While supercooled/ice fog missions accrued substantial ice buildup during the March 23</w:t>
      </w:r>
      <w:r w:rsidRPr="00476C0D">
        <w:rPr>
          <w:rFonts w:eastAsiaTheme="minorEastAsia"/>
          <w:vertAlign w:val="superscript"/>
        </w:rPr>
        <w:t>rd</w:t>
      </w:r>
      <w:r w:rsidRPr="00476C0D">
        <w:rPr>
          <w:rFonts w:eastAsiaTheme="minorEastAsia"/>
        </w:rPr>
        <w:t xml:space="preserve"> and 24</w:t>
      </w:r>
      <w:r w:rsidRPr="00476C0D">
        <w:rPr>
          <w:rFonts w:eastAsiaTheme="minorEastAsia"/>
          <w:vertAlign w:val="superscript"/>
        </w:rPr>
        <w:t>th</w:t>
      </w:r>
      <w:r w:rsidRPr="00476C0D">
        <w:rPr>
          <w:rFonts w:eastAsiaTheme="minorEastAsia"/>
        </w:rPr>
        <w:t xml:space="preserve"> fog missions, no noticeable performance degradation was observed by the licensed pilot. Outside of minor shorting issues within the internal electrical system while grounded, no UAV platform issues arose during flights.</w:t>
      </w:r>
    </w:p>
    <w:p w14:paraId="16112744" w14:textId="2024AA44" w:rsidR="008955C2" w:rsidRPr="00476C0D" w:rsidRDefault="008955C2" w:rsidP="00B601DF">
      <w:pPr>
        <w:pStyle w:val="TextFormat"/>
        <w:rPr>
          <w:rFonts w:eastAsiaTheme="minorEastAsia"/>
        </w:rPr>
      </w:pPr>
      <w:r w:rsidRPr="00476C0D">
        <w:rPr>
          <w:rFonts w:eastAsiaTheme="minorEastAsia"/>
        </w:rPr>
        <w:t>Temperature and relative humidity profiles exhibited high resolutions of the lower boundary layer and illustrated the robustness of the IMet-XQ2 one-second sampling rates. IMet-XQ2 sensor response times at very cold temperatures (around -10 °C) generated a considerable downward shift of the descent profiles compared to the ascent profiles for both the temperature and relative humidity sensors. This was particularly evident during the March 7</w:t>
      </w:r>
      <w:r w:rsidRPr="00476C0D">
        <w:rPr>
          <w:rFonts w:eastAsiaTheme="minorEastAsia"/>
          <w:vertAlign w:val="superscript"/>
        </w:rPr>
        <w:t>th</w:t>
      </w:r>
      <w:r w:rsidRPr="00476C0D">
        <w:rPr>
          <w:rFonts w:eastAsiaTheme="minorEastAsia"/>
        </w:rPr>
        <w:t xml:space="preserve"> profiling maneuver where 10-20 </w:t>
      </w:r>
      <w:r w:rsidR="005858A3">
        <w:rPr>
          <w:rFonts w:eastAsiaTheme="minorEastAsia"/>
        </w:rPr>
        <w:t>ft</w:t>
      </w:r>
      <w:r w:rsidRPr="00476C0D">
        <w:rPr>
          <w:rFonts w:eastAsiaTheme="minorEastAsia"/>
        </w:rPr>
        <w:t xml:space="preserve"> differences in the ascent and descent were observed</w:t>
      </w:r>
      <w:r w:rsidR="00C51F37">
        <w:rPr>
          <w:rFonts w:eastAsiaTheme="minorEastAsia"/>
        </w:rPr>
        <w:t xml:space="preserve"> (</w:t>
      </w:r>
      <w:r w:rsidR="00C51F37">
        <w:rPr>
          <w:rFonts w:eastAsiaTheme="minorEastAsia"/>
        </w:rPr>
        <w:fldChar w:fldCharType="begin"/>
      </w:r>
      <w:r w:rsidR="00C51F37">
        <w:rPr>
          <w:rFonts w:eastAsiaTheme="minorEastAsia"/>
        </w:rPr>
        <w:instrText xml:space="preserve"> REF _Ref150824014 \h </w:instrText>
      </w:r>
      <w:r w:rsidR="00C51F37">
        <w:rPr>
          <w:rFonts w:eastAsiaTheme="minorEastAsia"/>
        </w:rPr>
      </w:r>
      <w:r w:rsidR="00C51F37">
        <w:rPr>
          <w:rFonts w:eastAsiaTheme="minorEastAsia"/>
        </w:rPr>
        <w:fldChar w:fldCharType="separate"/>
      </w:r>
      <w:r w:rsidR="0010654D">
        <w:t xml:space="preserve">Figure </w:t>
      </w:r>
      <w:r w:rsidR="0010654D">
        <w:rPr>
          <w:noProof/>
        </w:rPr>
        <w:t>22</w:t>
      </w:r>
      <w:r w:rsidR="00C51F37">
        <w:rPr>
          <w:rFonts w:eastAsiaTheme="minorEastAsia"/>
        </w:rPr>
        <w:fldChar w:fldCharType="end"/>
      </w:r>
      <w:r w:rsidRPr="00476C0D">
        <w:rPr>
          <w:rFonts w:eastAsiaTheme="minorEastAsia"/>
        </w:rPr>
        <w:t>). As suggested by the IMet-XQ2 regression analysis, bigger discrepancies arose with the relative humidity measurements, at times producing 10-20 percent differences between the ascents and descents on March 15</w:t>
      </w:r>
      <w:r w:rsidRPr="00476C0D">
        <w:rPr>
          <w:rFonts w:eastAsiaTheme="minorEastAsia"/>
          <w:vertAlign w:val="superscript"/>
        </w:rPr>
        <w:t>th</w:t>
      </w:r>
      <w:r w:rsidRPr="00476C0D">
        <w:rPr>
          <w:rFonts w:eastAsiaTheme="minorEastAsia"/>
        </w:rPr>
        <w:t xml:space="preserve"> and 24</w:t>
      </w:r>
      <w:r w:rsidRPr="00476C0D">
        <w:rPr>
          <w:rFonts w:eastAsiaTheme="minorEastAsia"/>
          <w:vertAlign w:val="superscript"/>
        </w:rPr>
        <w:t>th</w:t>
      </w:r>
      <w:r w:rsidRPr="00476C0D">
        <w:rPr>
          <w:rFonts w:eastAsiaTheme="minorEastAsia"/>
        </w:rPr>
        <w:t>. Relative humidities never increased above 90 percent during any fog mission. However, similar discrepancies were evident in the more precise temperature sensor on March 24</w:t>
      </w:r>
      <w:r w:rsidRPr="00476C0D">
        <w:rPr>
          <w:rFonts w:eastAsiaTheme="minorEastAsia"/>
          <w:vertAlign w:val="superscript"/>
        </w:rPr>
        <w:t>th</w:t>
      </w:r>
      <w:r w:rsidRPr="00476C0D">
        <w:rPr>
          <w:rFonts w:eastAsiaTheme="minorEastAsia"/>
        </w:rPr>
        <w:t xml:space="preserve"> with a noticeable 2-5 °C warm bias for descents (</w:t>
      </w:r>
      <w:r w:rsidR="008C3123">
        <w:rPr>
          <w:rFonts w:eastAsiaTheme="minorEastAsia"/>
        </w:rPr>
        <w:fldChar w:fldCharType="begin"/>
      </w:r>
      <w:r w:rsidR="008C3123">
        <w:rPr>
          <w:rFonts w:eastAsiaTheme="minorEastAsia"/>
        </w:rPr>
        <w:instrText xml:space="preserve"> REF _Ref150825368 \h </w:instrText>
      </w:r>
      <w:r w:rsidR="008C3123">
        <w:rPr>
          <w:rFonts w:eastAsiaTheme="minorEastAsia"/>
        </w:rPr>
      </w:r>
      <w:r w:rsidR="008C3123">
        <w:rPr>
          <w:rFonts w:eastAsiaTheme="minorEastAsia"/>
        </w:rPr>
        <w:fldChar w:fldCharType="separate"/>
      </w:r>
      <w:r w:rsidR="0010654D">
        <w:t xml:space="preserve">Figure </w:t>
      </w:r>
      <w:r w:rsidR="0010654D">
        <w:rPr>
          <w:noProof/>
        </w:rPr>
        <w:t>36</w:t>
      </w:r>
      <w:r w:rsidR="008C3123">
        <w:rPr>
          <w:rFonts w:eastAsiaTheme="minorEastAsia"/>
        </w:rPr>
        <w:fldChar w:fldCharType="end"/>
      </w:r>
      <w:r w:rsidR="008C3123">
        <w:rPr>
          <w:rFonts w:eastAsiaTheme="minorEastAsia"/>
        </w:rPr>
        <w:fldChar w:fldCharType="begin"/>
      </w:r>
      <w:r w:rsidR="008C3123">
        <w:rPr>
          <w:rFonts w:eastAsiaTheme="minorEastAsia"/>
        </w:rPr>
        <w:instrText xml:space="preserve"> REF _Ref150825369 \h </w:instrText>
      </w:r>
      <w:r w:rsidR="008C3123">
        <w:rPr>
          <w:rFonts w:eastAsiaTheme="minorEastAsia"/>
        </w:rPr>
      </w:r>
      <w:r w:rsidR="008C3123">
        <w:rPr>
          <w:rFonts w:eastAsiaTheme="minorEastAsia"/>
        </w:rPr>
        <w:fldChar w:fldCharType="separate"/>
      </w:r>
      <w:r w:rsidR="0010654D">
        <w:t xml:space="preserve">Figure </w:t>
      </w:r>
      <w:r w:rsidR="0010654D">
        <w:rPr>
          <w:noProof/>
        </w:rPr>
        <w:t>37</w:t>
      </w:r>
      <w:r w:rsidR="008C3123">
        <w:rPr>
          <w:rFonts w:eastAsiaTheme="minorEastAsia"/>
        </w:rPr>
        <w:fldChar w:fldCharType="end"/>
      </w:r>
      <w:r w:rsidRPr="00476C0D">
        <w:rPr>
          <w:rFonts w:eastAsiaTheme="minorEastAsia"/>
        </w:rPr>
        <w:t xml:space="preserve">). This could be a combination of issues related to heat contamination from the UAV body, turbulent mixing of </w:t>
      </w:r>
      <w:r w:rsidRPr="00476C0D">
        <w:rPr>
          <w:rFonts w:eastAsiaTheme="minorEastAsia"/>
        </w:rPr>
        <w:lastRenderedPageBreak/>
        <w:t xml:space="preserve">the atmospheric column via UAV downwash, and sensor response times. Proper housing of the IMet-XQ2 further and horizontally away from the UAV body is recommended to help mitigate these issues. </w:t>
      </w:r>
      <w:r w:rsidR="00AF0E86">
        <w:rPr>
          <w:rFonts w:eastAsiaTheme="minorEastAsia"/>
        </w:rPr>
        <w:t>Additionally, r</w:t>
      </w:r>
      <w:r w:rsidRPr="00476C0D">
        <w:rPr>
          <w:rFonts w:eastAsiaTheme="minorEastAsia"/>
        </w:rPr>
        <w:t>acetrack patterns exhibit</w:t>
      </w:r>
      <w:r w:rsidR="0095483B">
        <w:rPr>
          <w:rFonts w:eastAsiaTheme="minorEastAsia"/>
        </w:rPr>
        <w:t>ed cyclical responses in the temperature and humidity sensors, suggesting speed and direction biases for the IMet-XQ2.</w:t>
      </w:r>
      <w:r w:rsidRPr="00476C0D">
        <w:rPr>
          <w:rFonts w:eastAsiaTheme="minorEastAsia"/>
        </w:rPr>
        <w:t xml:space="preserve"> </w:t>
      </w:r>
    </w:p>
    <w:p w14:paraId="0C640206" w14:textId="73FEF2B0" w:rsidR="00882715" w:rsidRDefault="008955C2" w:rsidP="00882715">
      <w:pPr>
        <w:pStyle w:val="TextFormat"/>
      </w:pPr>
      <w:r w:rsidRPr="00476C0D">
        <w:rPr>
          <w:rFonts w:eastAsiaTheme="minorEastAsia"/>
        </w:rPr>
        <w:t>Visibility was successfully profiled by the MiniOFS during the March 23</w:t>
      </w:r>
      <w:r w:rsidRPr="00476C0D">
        <w:rPr>
          <w:rFonts w:eastAsiaTheme="minorEastAsia"/>
          <w:vertAlign w:val="superscript"/>
        </w:rPr>
        <w:t>rd</w:t>
      </w:r>
      <w:r w:rsidRPr="00476C0D">
        <w:rPr>
          <w:rFonts w:eastAsiaTheme="minorEastAsia"/>
        </w:rPr>
        <w:t xml:space="preserve"> and March 24</w:t>
      </w:r>
      <w:r w:rsidRPr="00476C0D">
        <w:rPr>
          <w:rFonts w:eastAsiaTheme="minorEastAsia"/>
          <w:vertAlign w:val="superscript"/>
        </w:rPr>
        <w:t>th</w:t>
      </w:r>
      <w:r w:rsidRPr="00476C0D">
        <w:rPr>
          <w:rFonts w:eastAsiaTheme="minorEastAsia"/>
        </w:rPr>
        <w:t xml:space="preserve"> </w:t>
      </w:r>
      <w:r w:rsidRPr="00882715">
        <w:t>fog missions. A deepening fog layer during the March 23rd mission is evident in the vertical profiles; visibilities decreased throughout the atmospheric column with each subsequent profiling maneuver</w:t>
      </w:r>
      <w:r w:rsidR="00C51F37" w:rsidRPr="00882715">
        <w:t xml:space="preserve"> (</w:t>
      </w:r>
      <w:r w:rsidR="00C51F37" w:rsidRPr="00882715">
        <w:fldChar w:fldCharType="begin"/>
      </w:r>
      <w:r w:rsidR="00C51F37" w:rsidRPr="00882715">
        <w:instrText xml:space="preserve"> REF _Ref150824985 \h </w:instrText>
      </w:r>
      <w:r w:rsidR="00882715">
        <w:instrText xml:space="preserve"> \* MERGEFORMAT </w:instrText>
      </w:r>
      <w:r w:rsidR="00C51F37" w:rsidRPr="00882715">
        <w:fldChar w:fldCharType="separate"/>
      </w:r>
      <w:r w:rsidR="0010654D" w:rsidRPr="007C51E6">
        <w:t xml:space="preserve">Figure </w:t>
      </w:r>
      <w:r w:rsidR="0010654D">
        <w:t>33</w:t>
      </w:r>
      <w:r w:rsidR="00C51F37" w:rsidRPr="00882715">
        <w:fldChar w:fldCharType="end"/>
      </w:r>
      <w:r w:rsidRPr="00882715">
        <w:t>). Importantly, the top of the fog layer was encountered between 350 and 400 ft AGL as indicated by increasing visibilities. Similar features were evident during the elevated fog mission on March 24th, however the entire fog layer between 100 and 300 ft AGL is profiled (</w:t>
      </w:r>
      <w:r w:rsidR="008C3123" w:rsidRPr="00882715">
        <w:fldChar w:fldCharType="begin"/>
      </w:r>
      <w:r w:rsidR="008C3123" w:rsidRPr="00882715">
        <w:instrText xml:space="preserve"> REF _Ref150825368 \h </w:instrText>
      </w:r>
      <w:r w:rsidR="00882715">
        <w:instrText xml:space="preserve"> \* MERGEFORMAT </w:instrText>
      </w:r>
      <w:r w:rsidR="008C3123" w:rsidRPr="00882715">
        <w:fldChar w:fldCharType="separate"/>
      </w:r>
      <w:r w:rsidR="0010654D">
        <w:t>Figure 36</w:t>
      </w:r>
      <w:r w:rsidR="008C3123" w:rsidRPr="00882715">
        <w:fldChar w:fldCharType="end"/>
      </w:r>
      <w:r w:rsidR="005858A3">
        <w:t xml:space="preserve"> and </w:t>
      </w:r>
      <w:r w:rsidR="008C3123" w:rsidRPr="00882715">
        <w:fldChar w:fldCharType="begin"/>
      </w:r>
      <w:r w:rsidR="008C3123" w:rsidRPr="00882715">
        <w:instrText xml:space="preserve"> REF _Ref150825369 \h </w:instrText>
      </w:r>
      <w:r w:rsidR="00882715">
        <w:instrText xml:space="preserve"> \* MERGEFORMAT </w:instrText>
      </w:r>
      <w:r w:rsidR="008C3123" w:rsidRPr="00882715">
        <w:fldChar w:fldCharType="separate"/>
      </w:r>
      <w:r w:rsidR="0010654D">
        <w:t xml:space="preserve">Figure </w:t>
      </w:r>
      <w:r w:rsidR="0010654D">
        <w:rPr>
          <w:noProof/>
        </w:rPr>
        <w:t>37</w:t>
      </w:r>
      <w:r w:rsidR="008C3123" w:rsidRPr="00882715">
        <w:fldChar w:fldCharType="end"/>
      </w:r>
      <w:r w:rsidRPr="00882715">
        <w:t>). This is supported by a strong inversion</w:t>
      </w:r>
      <w:r w:rsidR="00217B2A" w:rsidRPr="00882715">
        <w:t xml:space="preserve"> present</w:t>
      </w:r>
      <w:r w:rsidRPr="00882715">
        <w:t xml:space="preserve"> in the IMet-XQ2 temperature measurements directly at and above the </w:t>
      </w:r>
      <w:r w:rsidR="00944E81" w:rsidRPr="00882715">
        <w:t xml:space="preserve">top of </w:t>
      </w:r>
      <w:r w:rsidR="00217B2A" w:rsidRPr="00882715">
        <w:t>reduced visibilities</w:t>
      </w:r>
      <w:r w:rsidRPr="00882715">
        <w:t>. The second ascent maneuver with interspersed 30-45 s hovering periods helped alleviate issues related to the 30</w:t>
      </w:r>
      <w:r w:rsidR="005858A3">
        <w:t xml:space="preserve"> </w:t>
      </w:r>
      <w:r w:rsidRPr="00882715">
        <w:t>s MiniOFS sampling rate and allowed for better vertical resolution.</w:t>
      </w:r>
    </w:p>
    <w:p w14:paraId="795423F4" w14:textId="205351A9" w:rsidR="00AD3396" w:rsidRDefault="00D52A03" w:rsidP="00882715">
      <w:pPr>
        <w:pStyle w:val="TextFormat"/>
      </w:pPr>
      <w:r>
        <w:t xml:space="preserve">Efforts to determine </w:t>
      </w:r>
      <w:r w:rsidR="007501B7">
        <w:t>the</w:t>
      </w:r>
      <w:r>
        <w:t xml:space="preserve"> feasibility </w:t>
      </w:r>
      <w:r w:rsidR="007501B7">
        <w:t>of</w:t>
      </w:r>
      <w:r>
        <w:t xml:space="preserve"> a supercooled fog abatement project within the Red River Valley accomplished numerous objectives</w:t>
      </w:r>
      <w:r w:rsidR="007501B7">
        <w:t xml:space="preserve">. Production of </w:t>
      </w:r>
      <w:r w:rsidR="00AF0E86">
        <w:t>a regional supercooled</w:t>
      </w:r>
      <w:r w:rsidR="007501B7">
        <w:t xml:space="preserve"> fog climatolog</w:t>
      </w:r>
      <w:r w:rsidR="00AF0E86">
        <w:t>y</w:t>
      </w:r>
      <w:r w:rsidR="007501B7">
        <w:t xml:space="preserve"> </w:t>
      </w:r>
      <w:r w:rsidR="002922E8">
        <w:t>displayed</w:t>
      </w:r>
      <w:r w:rsidR="007501B7">
        <w:t xml:space="preserve"> </w:t>
      </w:r>
      <w:r w:rsidR="00AF0E86">
        <w:t xml:space="preserve">seasonal potential beginning in early November, peaking during the month of March, and ending by the beginning of April. </w:t>
      </w:r>
      <w:r w:rsidR="002922E8">
        <w:t xml:space="preserve">Acquisition of </w:t>
      </w:r>
      <w:r w:rsidR="00AF0E86">
        <w:t xml:space="preserve">FAA-approved airspace for low-visibility UAS platform </w:t>
      </w:r>
      <w:r w:rsidR="002922E8">
        <w:t>usage resulted in successful tests of the platform in both low and high visibility conditions, demonstrating functionality of the UAV in icing conditions.</w:t>
      </w:r>
      <w:r w:rsidR="00AD3396">
        <w:t xml:space="preserve"> Attached</w:t>
      </w:r>
      <w:r w:rsidR="002922E8">
        <w:t xml:space="preserve"> instrumentation succeeded in representing the boundary layer during clear-air and foggy conditions</w:t>
      </w:r>
      <w:r w:rsidR="00AD3396">
        <w:t xml:space="preserve">, indicating successful in-situ data acquisition using the UAS platform. </w:t>
      </w:r>
      <w:r w:rsidR="00720DF3">
        <w:t>The i</w:t>
      </w:r>
      <w:r w:rsidR="009A196E">
        <w:t>mportant fog-top identification</w:t>
      </w:r>
      <w:r w:rsidR="00720DF3">
        <w:t xml:space="preserve"> for fog dispersal methods</w:t>
      </w:r>
      <w:r w:rsidR="009A196E">
        <w:t xml:space="preserve"> </w:t>
      </w:r>
      <w:r w:rsidR="00720DF3">
        <w:t xml:space="preserve">occurred during two of the low-visibility missions. </w:t>
      </w:r>
      <w:r w:rsidR="00AD3396">
        <w:lastRenderedPageBreak/>
        <w:t xml:space="preserve">The ground-based platform acted sufficiently as verification of surface conditions during UAS platform missions. Overall, tests of the UAS platform for supercooled fog abatement </w:t>
      </w:r>
      <w:r w:rsidR="00495DB8">
        <w:t>demonstrate</w:t>
      </w:r>
      <w:r w:rsidR="00AD3396">
        <w:t xml:space="preserve"> clear potential </w:t>
      </w:r>
      <w:r w:rsidR="00495DB8">
        <w:t xml:space="preserve">and favorability </w:t>
      </w:r>
      <w:r w:rsidR="00AD3396">
        <w:t>for operational usage.</w:t>
      </w:r>
    </w:p>
    <w:p w14:paraId="695171DB" w14:textId="2DF32305" w:rsidR="00944E81" w:rsidRDefault="009A196E" w:rsidP="00882715">
      <w:pPr>
        <w:pStyle w:val="TextFormat"/>
        <w:rPr>
          <w:rFonts w:eastAsiaTheme="minorEastAsia"/>
        </w:rPr>
      </w:pPr>
      <w:r>
        <w:t>Nevertheless</w:t>
      </w:r>
      <w:r w:rsidR="00495DB8">
        <w:t xml:space="preserve">, numerous issues need to be addressed for an accurate determination on the feasibility of such a supercooled fog dispersal project within the Red River Valley. There are clear indications from the </w:t>
      </w:r>
      <w:r w:rsidR="00137AEB">
        <w:t xml:space="preserve">regional </w:t>
      </w:r>
      <w:r>
        <w:t xml:space="preserve">fog </w:t>
      </w:r>
      <w:proofErr w:type="spellStart"/>
      <w:r>
        <w:t>climatologies</w:t>
      </w:r>
      <w:proofErr w:type="spellEnd"/>
      <w:r>
        <w:t xml:space="preserve"> that the ASOS obscuration algorithm does not precisely filter all snow/blowing snow events and is highly dependent on the functionality of the precipitation sensor. At the lowest wind speed thresholds, </w:t>
      </w:r>
      <w:r w:rsidR="00720DF3">
        <w:t>small</w:t>
      </w:r>
      <w:r>
        <w:t xml:space="preserve"> amounts of average hourly </w:t>
      </w:r>
      <w:r w:rsidR="00137AEB">
        <w:t xml:space="preserve">supercooled </w:t>
      </w:r>
      <w:r>
        <w:t>fog conditions per year</w:t>
      </w:r>
      <w:r w:rsidR="00720DF3">
        <w:t xml:space="preserve"> suggest low occurrence rates and cast doubt on a monetary benefit in Red River Valley supercooled fog dispersal operations. Outside of a general seasonal outlook, continued ASOS investigation and additional sources of data for the data-sparse Red River Valley is necessary for a more precise fog climatology. Areas west of the Red River Valley where sharper gradients in terrain result in </w:t>
      </w:r>
      <w:r w:rsidR="00137AEB">
        <w:t>increased</w:t>
      </w:r>
      <w:r w:rsidR="00720DF3">
        <w:t xml:space="preserve"> valley-inversion fog</w:t>
      </w:r>
      <w:r w:rsidR="00137AEB">
        <w:t xml:space="preserve"> potential may prove more suitable for supercooled fog abatement endeavors.</w:t>
      </w:r>
      <w:r w:rsidR="003A57E4">
        <w:rPr>
          <w:rFonts w:eastAsiaTheme="minorEastAsia"/>
        </w:rPr>
        <w:br w:type="page"/>
      </w:r>
    </w:p>
    <w:p w14:paraId="0ABD0FEF" w14:textId="38FC4430" w:rsidR="00205D69" w:rsidRPr="00C07CD1" w:rsidRDefault="00C07CD1" w:rsidP="008739B9">
      <w:pPr>
        <w:pStyle w:val="Heading1"/>
      </w:pPr>
      <w:bookmarkStart w:id="230" w:name="_Toc152692028"/>
      <w:r>
        <w:lastRenderedPageBreak/>
        <w:t>CHAPTER V</w:t>
      </w:r>
      <w:r w:rsidR="00E44833">
        <w:t>I</w:t>
      </w:r>
      <w:r w:rsidR="008C19CF">
        <w:t>I</w:t>
      </w:r>
      <w:r>
        <w:t>: SUMMARY AND CONCLUSIONS</w:t>
      </w:r>
      <w:bookmarkEnd w:id="230"/>
    </w:p>
    <w:p w14:paraId="76D722F9" w14:textId="16B13384" w:rsidR="00EF7019" w:rsidRDefault="00C07CD1" w:rsidP="00B601DF">
      <w:pPr>
        <w:pStyle w:val="TextFormat"/>
      </w:pPr>
      <w:r>
        <w:t xml:space="preserve"> A research study was conducted to </w:t>
      </w:r>
      <w:r w:rsidR="005B66F1">
        <w:t xml:space="preserve">explore the efficacy of the UAS platform in acquiring fog microphysical data and </w:t>
      </w:r>
      <w:r>
        <w:t>determine the feasibility of a sup</w:t>
      </w:r>
      <w:r w:rsidR="00BA0B1C">
        <w:t>ercooled fog dispersal project in the Red River Valley</w:t>
      </w:r>
      <w:r w:rsidR="007B4D87">
        <w:t xml:space="preserve">. </w:t>
      </w:r>
      <w:r w:rsidR="0084079E">
        <w:t xml:space="preserve">A </w:t>
      </w:r>
      <w:r w:rsidR="00EF7019">
        <w:t>30</w:t>
      </w:r>
      <w:r w:rsidR="005858A3">
        <w:t xml:space="preserve"> </w:t>
      </w:r>
      <w:proofErr w:type="spellStart"/>
      <w:r w:rsidR="005858A3">
        <w:t>yr</w:t>
      </w:r>
      <w:proofErr w:type="spellEnd"/>
      <w:r w:rsidR="00EF7019">
        <w:t xml:space="preserve"> </w:t>
      </w:r>
      <w:r w:rsidR="0084079E">
        <w:t>fog climatology for the Red River Valley</w:t>
      </w:r>
      <w:r w:rsidR="00DE0251">
        <w:t xml:space="preserve"> indicates a seasonal period for supercooled fog development</w:t>
      </w:r>
      <w:r w:rsidR="00D420E2">
        <w:t xml:space="preserve"> from</w:t>
      </w:r>
      <w:r w:rsidR="00DE0251">
        <w:t xml:space="preserve"> early November through the beginning of April, peaking sharply during the month of March</w:t>
      </w:r>
      <w:r w:rsidR="0023189E">
        <w:t xml:space="preserve"> coincident with yearly snowmelt</w:t>
      </w:r>
      <w:r w:rsidR="00DE0251">
        <w:t xml:space="preserve">. Secondary maximums in </w:t>
      </w:r>
      <w:r w:rsidR="006A6B10">
        <w:t xml:space="preserve">fog occurrence </w:t>
      </w:r>
      <w:r w:rsidR="00DE0251">
        <w:t>probabilities during August-September (warm fogs) and late November-December (cold fogs)</w:t>
      </w:r>
      <w:r w:rsidR="0023189E">
        <w:t xml:space="preserve"> are </w:t>
      </w:r>
      <w:r w:rsidR="00257D76">
        <w:t>plausibly</w:t>
      </w:r>
      <w:r w:rsidR="0023189E">
        <w:t xml:space="preserve"> related to favorable synoptic-scale setups for regional radiation fogs</w:t>
      </w:r>
      <w:r w:rsidR="00DE0251">
        <w:t>.</w:t>
      </w:r>
      <w:r w:rsidR="00D420E2">
        <w:t xml:space="preserve"> </w:t>
      </w:r>
      <w:r w:rsidR="00DE0251">
        <w:t>The Red River Valley does not display a marked increase in fog potential compared to the surrounding terrain</w:t>
      </w:r>
      <w:r w:rsidR="0023189E">
        <w:t xml:space="preserve">, </w:t>
      </w:r>
      <w:r w:rsidR="00257D76">
        <w:t>largely due to</w:t>
      </w:r>
      <w:r w:rsidR="0023189E">
        <w:t xml:space="preserve"> the expansive flat nature of the valley.</w:t>
      </w:r>
      <w:r w:rsidR="005535C4">
        <w:t xml:space="preserve"> </w:t>
      </w:r>
      <w:r w:rsidR="00257D76">
        <w:t xml:space="preserve">Overall low hourly averages of supercooled fog occurrences per year cast some doubt onto the monetary feasibility of such a supercooled fog abatement project within the Red River Valley itself. </w:t>
      </w:r>
    </w:p>
    <w:p w14:paraId="3DD277BC" w14:textId="0DC2052D" w:rsidR="00AE67B8" w:rsidRDefault="00AE67B8" w:rsidP="00B601DF">
      <w:pPr>
        <w:pStyle w:val="TextFormat"/>
      </w:pPr>
      <w:r>
        <w:t xml:space="preserve">The UAS platform demonstrated clear and favorable potential for </w:t>
      </w:r>
      <w:r w:rsidR="006A6B10">
        <w:t xml:space="preserve">in-situ data acquisition and </w:t>
      </w:r>
      <w:r>
        <w:t xml:space="preserve">operational usage during </w:t>
      </w:r>
      <w:r w:rsidR="006A6B10">
        <w:t xml:space="preserve">fog </w:t>
      </w:r>
      <w:r>
        <w:t>abatement endeavors</w:t>
      </w:r>
      <w:r w:rsidR="006A6B10">
        <w:t xml:space="preserve">, culminating in five successful days of test flights. </w:t>
      </w:r>
      <w:r w:rsidR="005B66F1">
        <w:t xml:space="preserve">High-resolution vertical profiles of temperature and relative humidity demonstrate the robustness of the IMet-XQ2 sampling rate. However, numerous discrepancies between the ascent and descent patterns for both IMet-XQ2 sensors indicate UAV-related aspiration and heat contamination issues that need to be addressed. </w:t>
      </w:r>
      <w:r w:rsidR="006422AD">
        <w:t xml:space="preserve">The setup of the IMet-XQ2 underneath the main body likely experienced heat contamination during vertical profiling maneuvers and particularly for ascents. </w:t>
      </w:r>
      <w:r w:rsidR="005B66F1">
        <w:t xml:space="preserve">Furthermore, sensor response </w:t>
      </w:r>
      <w:r w:rsidR="00450897">
        <w:t>times</w:t>
      </w:r>
      <w:r w:rsidR="005B66F1">
        <w:t xml:space="preserve"> </w:t>
      </w:r>
      <w:r w:rsidR="00450897">
        <w:t>produce a substantial shift between the ascents/descents and must</w:t>
      </w:r>
      <w:r w:rsidR="005B66F1">
        <w:t xml:space="preserve"> be corrected</w:t>
      </w:r>
      <w:r w:rsidR="00450897">
        <w:t>/</w:t>
      </w:r>
      <w:r w:rsidR="005B66F1">
        <w:t>calibrated</w:t>
      </w:r>
      <w:r w:rsidR="00450897">
        <w:t xml:space="preserve"> post-mission for an accurate representation of the boundary layer. Visibility was successfully profiled by the MiniOFS during clear-air and foggy conditions, however the 30 second sampling rate proved detrimental to representative sampling </w:t>
      </w:r>
      <w:r w:rsidR="00450897">
        <w:lastRenderedPageBreak/>
        <w:t xml:space="preserve">outside of hovering and low-speed maneuvers. </w:t>
      </w:r>
      <w:r w:rsidR="00B83A70">
        <w:t xml:space="preserve">Fog tops were reached during two of the fog missions, successfully demonstrating an ability to reach the critical altitude for most theoretical fog dispersal methods. </w:t>
      </w:r>
      <w:r w:rsidR="006422AD">
        <w:t>Additionally</w:t>
      </w:r>
      <w:r w:rsidR="00B83A70">
        <w:t xml:space="preserve">, substantial icing accretion instigated little to no performance degradation of the UAV. </w:t>
      </w:r>
    </w:p>
    <w:p w14:paraId="6F6C8F04" w14:textId="51B63657" w:rsidR="00E44833" w:rsidRDefault="003D6DE9" w:rsidP="00B601DF">
      <w:pPr>
        <w:pStyle w:val="TextFormat"/>
        <w:rPr>
          <w:b/>
          <w:bCs/>
        </w:rPr>
      </w:pPr>
      <w:r>
        <w:t>The UA</w:t>
      </w:r>
      <w:r w:rsidR="006422AD">
        <w:t>S</w:t>
      </w:r>
      <w:r w:rsidR="004E7948">
        <w:t xml:space="preserve"> platform is still in its inc</w:t>
      </w:r>
      <w:r>
        <w:t>eption with regards to meteorological data acquisition</w:t>
      </w:r>
      <w:r w:rsidR="004E7948">
        <w:t>; m</w:t>
      </w:r>
      <w:r w:rsidR="00A01915">
        <w:t xml:space="preserve">ore </w:t>
      </w:r>
      <w:r w:rsidR="006422AD">
        <w:t>efforts</w:t>
      </w:r>
      <w:r w:rsidR="00A01915">
        <w:t xml:space="preserve"> within fogs implementing the IMet-XQ2, MiniOFS, and other </w:t>
      </w:r>
      <w:r w:rsidR="00BC5938">
        <w:t xml:space="preserve">relevant </w:t>
      </w:r>
      <w:r w:rsidR="00A01915">
        <w:t xml:space="preserve">miniaturized instrumentation is needed in future studies. </w:t>
      </w:r>
      <w:r w:rsidR="00BC5938">
        <w:t xml:space="preserve">Internet accessibility on the UAS platform would help with real-time data monitoring and aid in the quick identification of fog top heights critical to fog dispersal methods. </w:t>
      </w:r>
      <w:r w:rsidR="006422AD">
        <w:t xml:space="preserve">Numerous failures of the IMet-XQ2 highlight the necessity of proper housing to protect </w:t>
      </w:r>
      <w:r w:rsidR="00BC5938">
        <w:t>instrumentation</w:t>
      </w:r>
      <w:r w:rsidR="006422AD">
        <w:t xml:space="preserve"> from solar and moisture contamination. Similar to work done by </w:t>
      </w:r>
      <w:r w:rsidR="006422AD" w:rsidRPr="006422AD">
        <w:t xml:space="preserve">Islam et al. </w:t>
      </w:r>
      <w:r w:rsidR="006422AD">
        <w:t>(</w:t>
      </w:r>
      <w:r w:rsidR="006422AD" w:rsidRPr="006422AD">
        <w:t>2021</w:t>
      </w:r>
      <w:r w:rsidR="006422AD">
        <w:t xml:space="preserve">), instrumentation setups further away (ideally horizontally) from the UAV body will help avoid heat contamination. </w:t>
      </w:r>
      <w:r w:rsidR="004E7948">
        <w:t>Future work also includes gaining FAA approval</w:t>
      </w:r>
      <w:r w:rsidR="00BB0091">
        <w:t>s</w:t>
      </w:r>
      <w:r w:rsidR="004E7948">
        <w:t xml:space="preserve"> for seeding material </w:t>
      </w:r>
      <w:r>
        <w:t>utilization</w:t>
      </w:r>
      <w:r w:rsidR="008C19CF">
        <w:t>,</w:t>
      </w:r>
      <w:r w:rsidR="00BB0091">
        <w:t xml:space="preserve"> nighttime operations, and operations above 400ft AGL.</w:t>
      </w:r>
      <w:r w:rsidR="00BC5938">
        <w:t xml:space="preserve"> Finally, more fog research </w:t>
      </w:r>
      <w:r w:rsidR="00A955EB">
        <w:t xml:space="preserve">using alternative non-ASOS data sources </w:t>
      </w:r>
      <w:r w:rsidR="00BC5938">
        <w:t xml:space="preserve">is necessary for an accurate </w:t>
      </w:r>
      <w:r w:rsidR="00A955EB">
        <w:t xml:space="preserve">monetary </w:t>
      </w:r>
      <w:r w:rsidR="00BC5938">
        <w:t>determination on the feasibility of supercooled fog abatement within Red River Valley.</w:t>
      </w:r>
      <w:r w:rsidR="00894131">
        <w:rPr>
          <w:b/>
          <w:bCs/>
        </w:rPr>
        <w:br w:type="page"/>
      </w:r>
    </w:p>
    <w:p w14:paraId="6E6951E2" w14:textId="57D55DE7" w:rsidR="00B52833" w:rsidRDefault="008C19CF" w:rsidP="008739B9">
      <w:pPr>
        <w:pStyle w:val="Heading1"/>
      </w:pPr>
      <w:bookmarkStart w:id="231" w:name="_Toc152692029"/>
      <w:r>
        <w:lastRenderedPageBreak/>
        <w:t>REFERENCES</w:t>
      </w:r>
      <w:bookmarkEnd w:id="231"/>
    </w:p>
    <w:p w14:paraId="76140E9C" w14:textId="77777777" w:rsidR="006422AD" w:rsidRPr="006422AD" w:rsidRDefault="00AF0B1B" w:rsidP="006422AD">
      <w:pPr>
        <w:pStyle w:val="Bibliography"/>
        <w:rPr>
          <w:rFonts w:ascii="Times New Roman" w:hAnsi="Times New Roman" w:cs="Times New Roman"/>
          <w:sz w:val="24"/>
        </w:rPr>
      </w:pPr>
      <w:r>
        <w:fldChar w:fldCharType="begin"/>
      </w:r>
      <w:r>
        <w:instrText xml:space="preserve"> ADDIN ZOTERO_BIBL {"uncited":[],"omitted":[],"custom":[]} CSL_BIBLIOGRAPHY </w:instrText>
      </w:r>
      <w:r>
        <w:fldChar w:fldCharType="separate"/>
      </w:r>
      <w:r w:rsidR="006422AD" w:rsidRPr="006422AD">
        <w:rPr>
          <w:rFonts w:ascii="Times New Roman" w:hAnsi="Times New Roman" w:cs="Times New Roman"/>
          <w:sz w:val="24"/>
        </w:rPr>
        <w:t xml:space="preserve">Beckwith, W. B., 1965: supercooled fog dispersal for airport operations. </w:t>
      </w:r>
      <w:r w:rsidR="006422AD" w:rsidRPr="006422AD">
        <w:rPr>
          <w:rFonts w:ascii="Times New Roman" w:hAnsi="Times New Roman" w:cs="Times New Roman"/>
          <w:i/>
          <w:iCs/>
          <w:sz w:val="24"/>
        </w:rPr>
        <w:t>Bulletin of the American Meteorological Society</w:t>
      </w:r>
      <w:r w:rsidR="006422AD" w:rsidRPr="006422AD">
        <w:rPr>
          <w:rFonts w:ascii="Times New Roman" w:hAnsi="Times New Roman" w:cs="Times New Roman"/>
          <w:sz w:val="24"/>
        </w:rPr>
        <w:t xml:space="preserve">, </w:t>
      </w:r>
      <w:r w:rsidR="006422AD" w:rsidRPr="006422AD">
        <w:rPr>
          <w:rFonts w:ascii="Times New Roman" w:hAnsi="Times New Roman" w:cs="Times New Roman"/>
          <w:b/>
          <w:bCs/>
          <w:sz w:val="24"/>
        </w:rPr>
        <w:t>46</w:t>
      </w:r>
      <w:r w:rsidR="006422AD" w:rsidRPr="006422AD">
        <w:rPr>
          <w:rFonts w:ascii="Times New Roman" w:hAnsi="Times New Roman" w:cs="Times New Roman"/>
          <w:sz w:val="24"/>
        </w:rPr>
        <w:t>, 323–327, https://doi.org/10.1175/1520-0477-46.6.323.</w:t>
      </w:r>
    </w:p>
    <w:p w14:paraId="7A817EAA"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Brooks, G., 2017: Red River Valley, Manitoba: The Geomorphology of a Low-Relief, Flood-Prone Prairie Landscape. 143–155.</w:t>
      </w:r>
    </w:p>
    <w:p w14:paraId="54E533AC"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Burn, D. H., and N. K. Goel, 2001: Flood frequency analysis for the Red River at Winnipeg. </w:t>
      </w:r>
      <w:r w:rsidRPr="006422AD">
        <w:rPr>
          <w:rFonts w:ascii="Times New Roman" w:hAnsi="Times New Roman" w:cs="Times New Roman"/>
          <w:i/>
          <w:iCs/>
          <w:sz w:val="24"/>
        </w:rPr>
        <w:t>Can. J. Civ. Eng.</w:t>
      </w:r>
      <w:r w:rsidRPr="006422AD">
        <w:rPr>
          <w:rFonts w:ascii="Times New Roman" w:hAnsi="Times New Roman" w:cs="Times New Roman"/>
          <w:sz w:val="24"/>
        </w:rPr>
        <w:t xml:space="preserve">, </w:t>
      </w:r>
      <w:r w:rsidRPr="006422AD">
        <w:rPr>
          <w:rFonts w:ascii="Times New Roman" w:hAnsi="Times New Roman" w:cs="Times New Roman"/>
          <w:b/>
          <w:bCs/>
          <w:sz w:val="24"/>
        </w:rPr>
        <w:t>28</w:t>
      </w:r>
      <w:r w:rsidRPr="006422AD">
        <w:rPr>
          <w:rFonts w:ascii="Times New Roman" w:hAnsi="Times New Roman" w:cs="Times New Roman"/>
          <w:sz w:val="24"/>
        </w:rPr>
        <w:t>, 355–362, https://doi.org/10.1139/l00-122.</w:t>
      </w:r>
    </w:p>
    <w:p w14:paraId="77FC2752"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Capobianco, G., and M. D. Lee, 2001: The Role of Weather in General Aviation Accidents: An Analysis of Causes, Contributing Factors and ISSUES. </w:t>
      </w:r>
      <w:r w:rsidRPr="006422AD">
        <w:rPr>
          <w:rFonts w:ascii="Times New Roman" w:hAnsi="Times New Roman" w:cs="Times New Roman"/>
          <w:i/>
          <w:iCs/>
          <w:sz w:val="24"/>
        </w:rPr>
        <w:t>Proceedings of the Human Factors and Ergonomics Society Annual Meeting</w:t>
      </w:r>
      <w:r w:rsidRPr="006422AD">
        <w:rPr>
          <w:rFonts w:ascii="Times New Roman" w:hAnsi="Times New Roman" w:cs="Times New Roman"/>
          <w:sz w:val="24"/>
        </w:rPr>
        <w:t xml:space="preserve">, </w:t>
      </w:r>
      <w:r w:rsidRPr="006422AD">
        <w:rPr>
          <w:rFonts w:ascii="Times New Roman" w:hAnsi="Times New Roman" w:cs="Times New Roman"/>
          <w:b/>
          <w:bCs/>
          <w:sz w:val="24"/>
        </w:rPr>
        <w:t>45</w:t>
      </w:r>
      <w:r w:rsidRPr="006422AD">
        <w:rPr>
          <w:rFonts w:ascii="Times New Roman" w:hAnsi="Times New Roman" w:cs="Times New Roman"/>
          <w:sz w:val="24"/>
        </w:rPr>
        <w:t>, 190–194, https://doi.org/10.1177/154193120104500241.</w:t>
      </w:r>
    </w:p>
    <w:p w14:paraId="1F7D6CD4"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Chong, J., S. Lee, S. Shin, S. E. Hwang, Y. Lee, and S. Kim, 2020: Research on Meteorological Technology Development Using Rotary Multicopter Unmanned Aerial Vehicles and Its Application. </w:t>
      </w:r>
      <w:r w:rsidRPr="006422AD">
        <w:rPr>
          <w:rFonts w:ascii="Times New Roman" w:hAnsi="Times New Roman" w:cs="Times New Roman"/>
          <w:i/>
          <w:iCs/>
          <w:sz w:val="24"/>
        </w:rPr>
        <w:t>2020 International Conference on Unmanned Aircraft Systems (ICUAS)</w:t>
      </w:r>
      <w:r w:rsidRPr="006422AD">
        <w:rPr>
          <w:rFonts w:ascii="Times New Roman" w:hAnsi="Times New Roman" w:cs="Times New Roman"/>
          <w:sz w:val="24"/>
        </w:rPr>
        <w:t>, 2020 International Conference on Unmanned Aircraft Systems (ICUAS), 540–544.</w:t>
      </w:r>
    </w:p>
    <w:p w14:paraId="29C4B431"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Christensen, L. S., and W. Frost, 1980: NASA Contractor Report 3255: Fog Dispersion.</w:t>
      </w:r>
    </w:p>
    <w:p w14:paraId="7A4197F6"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Delene, D. J., 2011: Airborne data processing and analysis software package. </w:t>
      </w:r>
      <w:r w:rsidRPr="006422AD">
        <w:rPr>
          <w:rFonts w:ascii="Times New Roman" w:hAnsi="Times New Roman" w:cs="Times New Roman"/>
          <w:i/>
          <w:iCs/>
          <w:sz w:val="24"/>
        </w:rPr>
        <w:t>Earth Sci Inform</w:t>
      </w:r>
      <w:r w:rsidRPr="006422AD">
        <w:rPr>
          <w:rFonts w:ascii="Times New Roman" w:hAnsi="Times New Roman" w:cs="Times New Roman"/>
          <w:sz w:val="24"/>
        </w:rPr>
        <w:t xml:space="preserve">, </w:t>
      </w:r>
      <w:r w:rsidRPr="006422AD">
        <w:rPr>
          <w:rFonts w:ascii="Times New Roman" w:hAnsi="Times New Roman" w:cs="Times New Roman"/>
          <w:b/>
          <w:bCs/>
          <w:sz w:val="24"/>
        </w:rPr>
        <w:t>4</w:t>
      </w:r>
      <w:r w:rsidRPr="006422AD">
        <w:rPr>
          <w:rFonts w:ascii="Times New Roman" w:hAnsi="Times New Roman" w:cs="Times New Roman"/>
          <w:sz w:val="24"/>
        </w:rPr>
        <w:t>, 29–44, https://doi.org/10.1007/s12145-010-0061-4.</w:t>
      </w:r>
    </w:p>
    <w:p w14:paraId="416FA23E"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Eldridge, R. G., 1971: The Relationship Between Visibility and Liquid Water Content in Fog. </w:t>
      </w:r>
      <w:r w:rsidRPr="006422AD">
        <w:rPr>
          <w:rFonts w:ascii="Times New Roman" w:hAnsi="Times New Roman" w:cs="Times New Roman"/>
          <w:i/>
          <w:iCs/>
          <w:sz w:val="24"/>
        </w:rPr>
        <w:t>Journal of the Atmospheric Sciences</w:t>
      </w:r>
      <w:r w:rsidRPr="006422AD">
        <w:rPr>
          <w:rFonts w:ascii="Times New Roman" w:hAnsi="Times New Roman" w:cs="Times New Roman"/>
          <w:sz w:val="24"/>
        </w:rPr>
        <w:t xml:space="preserve">, </w:t>
      </w:r>
      <w:r w:rsidRPr="006422AD">
        <w:rPr>
          <w:rFonts w:ascii="Times New Roman" w:hAnsi="Times New Roman" w:cs="Times New Roman"/>
          <w:b/>
          <w:bCs/>
          <w:sz w:val="24"/>
        </w:rPr>
        <w:t>28</w:t>
      </w:r>
      <w:r w:rsidRPr="006422AD">
        <w:rPr>
          <w:rFonts w:ascii="Times New Roman" w:hAnsi="Times New Roman" w:cs="Times New Roman"/>
          <w:sz w:val="24"/>
        </w:rPr>
        <w:t>, 1183–1186, https://doi.org/10.1175/1520-0469(1971)028&lt;1183:TRBVAL&gt;2.0.CO;2.</w:t>
      </w:r>
    </w:p>
    <w:p w14:paraId="72AFF152"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Garland, J. A., 1971: Some fog droplet size distributions obtained by an impaction method. </w:t>
      </w:r>
      <w:r w:rsidRPr="006422AD">
        <w:rPr>
          <w:rFonts w:ascii="Times New Roman" w:hAnsi="Times New Roman" w:cs="Times New Roman"/>
          <w:i/>
          <w:iCs/>
          <w:sz w:val="24"/>
        </w:rPr>
        <w:t>Quarterly Journal of the Royal Meteorological Society</w:t>
      </w:r>
      <w:r w:rsidRPr="006422AD">
        <w:rPr>
          <w:rFonts w:ascii="Times New Roman" w:hAnsi="Times New Roman" w:cs="Times New Roman"/>
          <w:sz w:val="24"/>
        </w:rPr>
        <w:t xml:space="preserve">, </w:t>
      </w:r>
      <w:r w:rsidRPr="006422AD">
        <w:rPr>
          <w:rFonts w:ascii="Times New Roman" w:hAnsi="Times New Roman" w:cs="Times New Roman"/>
          <w:b/>
          <w:bCs/>
          <w:sz w:val="24"/>
        </w:rPr>
        <w:t>97</w:t>
      </w:r>
      <w:r w:rsidRPr="006422AD">
        <w:rPr>
          <w:rFonts w:ascii="Times New Roman" w:hAnsi="Times New Roman" w:cs="Times New Roman"/>
          <w:sz w:val="24"/>
        </w:rPr>
        <w:t>, 483–494, https://doi.org/10.1002/qj.49709741408.</w:t>
      </w:r>
    </w:p>
    <w:p w14:paraId="62C9DDF5"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Gultepe, I., M. D. Müller, and Z. Boybeyi, 2006: A New Visibility Parameterization for Warm-Fog Applications in Numerical Weather Prediction Models. </w:t>
      </w:r>
      <w:r w:rsidRPr="006422AD">
        <w:rPr>
          <w:rFonts w:ascii="Times New Roman" w:hAnsi="Times New Roman" w:cs="Times New Roman"/>
          <w:i/>
          <w:iCs/>
          <w:sz w:val="24"/>
        </w:rPr>
        <w:t>Journal of Applied Meteorology and Climatology</w:t>
      </w:r>
      <w:r w:rsidRPr="006422AD">
        <w:rPr>
          <w:rFonts w:ascii="Times New Roman" w:hAnsi="Times New Roman" w:cs="Times New Roman"/>
          <w:sz w:val="24"/>
        </w:rPr>
        <w:t xml:space="preserve">, </w:t>
      </w:r>
      <w:r w:rsidRPr="006422AD">
        <w:rPr>
          <w:rFonts w:ascii="Times New Roman" w:hAnsi="Times New Roman" w:cs="Times New Roman"/>
          <w:b/>
          <w:bCs/>
          <w:sz w:val="24"/>
        </w:rPr>
        <w:t>45</w:t>
      </w:r>
      <w:r w:rsidRPr="006422AD">
        <w:rPr>
          <w:rFonts w:ascii="Times New Roman" w:hAnsi="Times New Roman" w:cs="Times New Roman"/>
          <w:sz w:val="24"/>
        </w:rPr>
        <w:t>, 1469–1480, https://doi.org/10.1175/JAM2423.1.</w:t>
      </w:r>
    </w:p>
    <w:p w14:paraId="7554F3EA"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Gultepe, I., and Coauthors, 2007: Fog research: A review of past achievements and future perspectives. </w:t>
      </w:r>
      <w:r w:rsidRPr="006422AD">
        <w:rPr>
          <w:rFonts w:ascii="Times New Roman" w:hAnsi="Times New Roman" w:cs="Times New Roman"/>
          <w:i/>
          <w:iCs/>
          <w:sz w:val="24"/>
        </w:rPr>
        <w:t>Pure and Applied Geophysics</w:t>
      </w:r>
      <w:r w:rsidRPr="006422AD">
        <w:rPr>
          <w:rFonts w:ascii="Times New Roman" w:hAnsi="Times New Roman" w:cs="Times New Roman"/>
          <w:sz w:val="24"/>
        </w:rPr>
        <w:t xml:space="preserve">, </w:t>
      </w:r>
      <w:r w:rsidRPr="006422AD">
        <w:rPr>
          <w:rFonts w:ascii="Times New Roman" w:hAnsi="Times New Roman" w:cs="Times New Roman"/>
          <w:b/>
          <w:bCs/>
          <w:sz w:val="24"/>
        </w:rPr>
        <w:t>164</w:t>
      </w:r>
      <w:r w:rsidRPr="006422AD">
        <w:rPr>
          <w:rFonts w:ascii="Times New Roman" w:hAnsi="Times New Roman" w:cs="Times New Roman"/>
          <w:sz w:val="24"/>
        </w:rPr>
        <w:t>, 1121–1159.</w:t>
      </w:r>
    </w:p>
    <w:p w14:paraId="571E5822"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Gultepe, I., and Coauthors, 2015: A review on ice fog measurements and modeling. </w:t>
      </w:r>
      <w:r w:rsidRPr="006422AD">
        <w:rPr>
          <w:rFonts w:ascii="Times New Roman" w:hAnsi="Times New Roman" w:cs="Times New Roman"/>
          <w:i/>
          <w:iCs/>
          <w:sz w:val="24"/>
        </w:rPr>
        <w:t>Atmospheric Research</w:t>
      </w:r>
      <w:r w:rsidRPr="006422AD">
        <w:rPr>
          <w:rFonts w:ascii="Times New Roman" w:hAnsi="Times New Roman" w:cs="Times New Roman"/>
          <w:sz w:val="24"/>
        </w:rPr>
        <w:t xml:space="preserve">, </w:t>
      </w:r>
      <w:r w:rsidRPr="006422AD">
        <w:rPr>
          <w:rFonts w:ascii="Times New Roman" w:hAnsi="Times New Roman" w:cs="Times New Roman"/>
          <w:b/>
          <w:bCs/>
          <w:sz w:val="24"/>
        </w:rPr>
        <w:t>151</w:t>
      </w:r>
      <w:r w:rsidRPr="006422AD">
        <w:rPr>
          <w:rFonts w:ascii="Times New Roman" w:hAnsi="Times New Roman" w:cs="Times New Roman"/>
          <w:sz w:val="24"/>
        </w:rPr>
        <w:t>, 2–19, https://doi.org/10.1016/j.atmosres.2014.04.014.</w:t>
      </w:r>
    </w:p>
    <w:p w14:paraId="42280192"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Gultepe, I., A. J. Heymsfield, M. Gallagher, L. Ickes, and D. Baumgardner, 2017: Ice Fog: The Current State of Knowledge and Future Challenges. </w:t>
      </w:r>
      <w:r w:rsidRPr="006422AD">
        <w:rPr>
          <w:rFonts w:ascii="Times New Roman" w:hAnsi="Times New Roman" w:cs="Times New Roman"/>
          <w:i/>
          <w:iCs/>
          <w:sz w:val="24"/>
        </w:rPr>
        <w:t>Meteorological Monographs</w:t>
      </w:r>
      <w:r w:rsidRPr="006422AD">
        <w:rPr>
          <w:rFonts w:ascii="Times New Roman" w:hAnsi="Times New Roman" w:cs="Times New Roman"/>
          <w:sz w:val="24"/>
        </w:rPr>
        <w:t xml:space="preserve">, </w:t>
      </w:r>
      <w:r w:rsidRPr="006422AD">
        <w:rPr>
          <w:rFonts w:ascii="Times New Roman" w:hAnsi="Times New Roman" w:cs="Times New Roman"/>
          <w:b/>
          <w:bCs/>
          <w:sz w:val="24"/>
        </w:rPr>
        <w:t>58</w:t>
      </w:r>
      <w:r w:rsidRPr="006422AD">
        <w:rPr>
          <w:rFonts w:ascii="Times New Roman" w:hAnsi="Times New Roman" w:cs="Times New Roman"/>
          <w:sz w:val="24"/>
        </w:rPr>
        <w:t>, 4.1-4.24, https://doi.org/10.1175/AMSMONOGRAPHS-D-17-0002.1.</w:t>
      </w:r>
    </w:p>
    <w:p w14:paraId="13D10320"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lastRenderedPageBreak/>
        <w:t>Haase, J., 2007: A Climatology of LIFR Conditions in the Upper Midwest Stratified by Type of Weather.</w:t>
      </w:r>
    </w:p>
    <w:p w14:paraId="5471A83C"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Hicks, J. R., and G. Vali, 1973: Ice Nucleation in Clouds by Liquefied Propane Spray. </w:t>
      </w:r>
      <w:r w:rsidRPr="006422AD">
        <w:rPr>
          <w:rFonts w:ascii="Times New Roman" w:hAnsi="Times New Roman" w:cs="Times New Roman"/>
          <w:i/>
          <w:iCs/>
          <w:sz w:val="24"/>
        </w:rPr>
        <w:t>Journal of Applied Meteorology and Climatology</w:t>
      </w:r>
      <w:r w:rsidRPr="006422AD">
        <w:rPr>
          <w:rFonts w:ascii="Times New Roman" w:hAnsi="Times New Roman" w:cs="Times New Roman"/>
          <w:sz w:val="24"/>
        </w:rPr>
        <w:t xml:space="preserve">, </w:t>
      </w:r>
      <w:r w:rsidRPr="006422AD">
        <w:rPr>
          <w:rFonts w:ascii="Times New Roman" w:hAnsi="Times New Roman" w:cs="Times New Roman"/>
          <w:b/>
          <w:bCs/>
          <w:sz w:val="24"/>
        </w:rPr>
        <w:t>12</w:t>
      </w:r>
      <w:r w:rsidRPr="006422AD">
        <w:rPr>
          <w:rFonts w:ascii="Times New Roman" w:hAnsi="Times New Roman" w:cs="Times New Roman"/>
          <w:sz w:val="24"/>
        </w:rPr>
        <w:t>, 1025–1034, https://doi.org/10.1175/1520-0450(1973)012&lt;1025:INICBL&gt;2.0.CO;2.</w:t>
      </w:r>
    </w:p>
    <w:p w14:paraId="274FD5D2"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Hoffmann, F., 2020: Effects of Entrainment and Mixing on the Wegener–Bergeron–Findeisen Process. </w:t>
      </w:r>
      <w:r w:rsidRPr="006422AD">
        <w:rPr>
          <w:rFonts w:ascii="Times New Roman" w:hAnsi="Times New Roman" w:cs="Times New Roman"/>
          <w:i/>
          <w:iCs/>
          <w:sz w:val="24"/>
        </w:rPr>
        <w:t>Journal of the Atmospheric Sciences</w:t>
      </w:r>
      <w:r w:rsidRPr="006422AD">
        <w:rPr>
          <w:rFonts w:ascii="Times New Roman" w:hAnsi="Times New Roman" w:cs="Times New Roman"/>
          <w:sz w:val="24"/>
        </w:rPr>
        <w:t xml:space="preserve">, </w:t>
      </w:r>
      <w:r w:rsidRPr="006422AD">
        <w:rPr>
          <w:rFonts w:ascii="Times New Roman" w:hAnsi="Times New Roman" w:cs="Times New Roman"/>
          <w:b/>
          <w:bCs/>
          <w:sz w:val="24"/>
        </w:rPr>
        <w:t>77</w:t>
      </w:r>
      <w:r w:rsidRPr="006422AD">
        <w:rPr>
          <w:rFonts w:ascii="Times New Roman" w:hAnsi="Times New Roman" w:cs="Times New Roman"/>
          <w:sz w:val="24"/>
        </w:rPr>
        <w:t>, 2279–2296, https://doi.org/10.1175/JAS-D-19-0289.1.</w:t>
      </w:r>
    </w:p>
    <w:p w14:paraId="3CCAB2D4"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Houghton, H. G., and W. H. Radford, 1936: On the Local Dissipation of Natural Fog. </w:t>
      </w:r>
      <w:r w:rsidRPr="006422AD">
        <w:rPr>
          <w:rFonts w:ascii="Times New Roman" w:hAnsi="Times New Roman" w:cs="Times New Roman"/>
          <w:i/>
          <w:iCs/>
          <w:sz w:val="24"/>
        </w:rPr>
        <w:t>Physical Oceanogoraphy and Meteorology</w:t>
      </w:r>
      <w:r w:rsidRPr="006422AD">
        <w:rPr>
          <w:rFonts w:ascii="Times New Roman" w:hAnsi="Times New Roman" w:cs="Times New Roman"/>
          <w:sz w:val="24"/>
        </w:rPr>
        <w:t xml:space="preserve">, </w:t>
      </w:r>
      <w:r w:rsidRPr="006422AD">
        <w:rPr>
          <w:rFonts w:ascii="Times New Roman" w:hAnsi="Times New Roman" w:cs="Times New Roman"/>
          <w:b/>
          <w:bCs/>
          <w:sz w:val="24"/>
        </w:rPr>
        <w:t>6</w:t>
      </w:r>
      <w:r w:rsidRPr="006422AD">
        <w:rPr>
          <w:rFonts w:ascii="Times New Roman" w:hAnsi="Times New Roman" w:cs="Times New Roman"/>
          <w:sz w:val="24"/>
        </w:rPr>
        <w:t>.</w:t>
      </w:r>
    </w:p>
    <w:p w14:paraId="473B4B2D"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Islam, A., A. Shankar, A. Houston, and C. Detweiler, 2021: University of Nebraska unmanned aerial system (UAS) profiling during the LAPSE-RATE field campaign. </w:t>
      </w:r>
      <w:r w:rsidRPr="006422AD">
        <w:rPr>
          <w:rFonts w:ascii="Times New Roman" w:hAnsi="Times New Roman" w:cs="Times New Roman"/>
          <w:i/>
          <w:iCs/>
          <w:sz w:val="24"/>
        </w:rPr>
        <w:t>Earth Syst. Sci. Data</w:t>
      </w:r>
      <w:r w:rsidRPr="006422AD">
        <w:rPr>
          <w:rFonts w:ascii="Times New Roman" w:hAnsi="Times New Roman" w:cs="Times New Roman"/>
          <w:sz w:val="24"/>
        </w:rPr>
        <w:t xml:space="preserve">, </w:t>
      </w:r>
      <w:r w:rsidRPr="006422AD">
        <w:rPr>
          <w:rFonts w:ascii="Times New Roman" w:hAnsi="Times New Roman" w:cs="Times New Roman"/>
          <w:b/>
          <w:bCs/>
          <w:sz w:val="24"/>
        </w:rPr>
        <w:t>13</w:t>
      </w:r>
      <w:r w:rsidRPr="006422AD">
        <w:rPr>
          <w:rFonts w:ascii="Times New Roman" w:hAnsi="Times New Roman" w:cs="Times New Roman"/>
          <w:sz w:val="24"/>
        </w:rPr>
        <w:t>, 2457–2470, https://doi.org/10.5194/essd-13-2457-2021.</w:t>
      </w:r>
    </w:p>
    <w:p w14:paraId="48BFE739"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Kennedy, A., A. Trellinger, T. Grafenauer, and G. Gust, 2019: A Climatology of Atmospheric Patterns Associated with Red River Valley Blizzards. </w:t>
      </w:r>
      <w:r w:rsidRPr="006422AD">
        <w:rPr>
          <w:rFonts w:ascii="Times New Roman" w:hAnsi="Times New Roman" w:cs="Times New Roman"/>
          <w:i/>
          <w:iCs/>
          <w:sz w:val="24"/>
        </w:rPr>
        <w:t>Climate</w:t>
      </w:r>
      <w:r w:rsidRPr="006422AD">
        <w:rPr>
          <w:rFonts w:ascii="Times New Roman" w:hAnsi="Times New Roman" w:cs="Times New Roman"/>
          <w:sz w:val="24"/>
        </w:rPr>
        <w:t xml:space="preserve">, </w:t>
      </w:r>
      <w:r w:rsidRPr="006422AD">
        <w:rPr>
          <w:rFonts w:ascii="Times New Roman" w:hAnsi="Times New Roman" w:cs="Times New Roman"/>
          <w:b/>
          <w:bCs/>
          <w:sz w:val="24"/>
        </w:rPr>
        <w:t>7</w:t>
      </w:r>
      <w:r w:rsidRPr="006422AD">
        <w:rPr>
          <w:rFonts w:ascii="Times New Roman" w:hAnsi="Times New Roman" w:cs="Times New Roman"/>
          <w:sz w:val="24"/>
        </w:rPr>
        <w:t>, 66, https://doi.org/10.3390/cli7050066.</w:t>
      </w:r>
    </w:p>
    <w:p w14:paraId="05164270"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Kimball, S. K., C. J. Montalvo, and M. S. Mulekar, 2020: Assessing iMET-XQ Performance and Optimal Placement on a Small Off-the-Shelf, Rotary-Wing UAV, as a Function of Atmospheric Conditions. </w:t>
      </w:r>
      <w:r w:rsidRPr="006422AD">
        <w:rPr>
          <w:rFonts w:ascii="Times New Roman" w:hAnsi="Times New Roman" w:cs="Times New Roman"/>
          <w:i/>
          <w:iCs/>
          <w:sz w:val="24"/>
        </w:rPr>
        <w:t>Atmosphere</w:t>
      </w:r>
      <w:r w:rsidRPr="006422AD">
        <w:rPr>
          <w:rFonts w:ascii="Times New Roman" w:hAnsi="Times New Roman" w:cs="Times New Roman"/>
          <w:sz w:val="24"/>
        </w:rPr>
        <w:t xml:space="preserve">, </w:t>
      </w:r>
      <w:r w:rsidRPr="006422AD">
        <w:rPr>
          <w:rFonts w:ascii="Times New Roman" w:hAnsi="Times New Roman" w:cs="Times New Roman"/>
          <w:b/>
          <w:bCs/>
          <w:sz w:val="24"/>
        </w:rPr>
        <w:t>11</w:t>
      </w:r>
      <w:r w:rsidRPr="006422AD">
        <w:rPr>
          <w:rFonts w:ascii="Times New Roman" w:hAnsi="Times New Roman" w:cs="Times New Roman"/>
          <w:sz w:val="24"/>
        </w:rPr>
        <w:t>, 660, https://doi.org/10.3390/atmos11060660.</w:t>
      </w:r>
    </w:p>
    <w:p w14:paraId="41FF762A"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Korolev, A., 2007: Limitations of the Wegener–Bergeron–Findeisen Mechanism in the Evolution of Mixed-Phase Clouds. </w:t>
      </w:r>
      <w:r w:rsidRPr="006422AD">
        <w:rPr>
          <w:rFonts w:ascii="Times New Roman" w:hAnsi="Times New Roman" w:cs="Times New Roman"/>
          <w:i/>
          <w:iCs/>
          <w:sz w:val="24"/>
        </w:rPr>
        <w:t>Journal of the Atmospheric Sciences</w:t>
      </w:r>
      <w:r w:rsidRPr="006422AD">
        <w:rPr>
          <w:rFonts w:ascii="Times New Roman" w:hAnsi="Times New Roman" w:cs="Times New Roman"/>
          <w:sz w:val="24"/>
        </w:rPr>
        <w:t xml:space="preserve">, </w:t>
      </w:r>
      <w:r w:rsidRPr="006422AD">
        <w:rPr>
          <w:rFonts w:ascii="Times New Roman" w:hAnsi="Times New Roman" w:cs="Times New Roman"/>
          <w:b/>
          <w:bCs/>
          <w:sz w:val="24"/>
        </w:rPr>
        <w:t>64</w:t>
      </w:r>
      <w:r w:rsidRPr="006422AD">
        <w:rPr>
          <w:rFonts w:ascii="Times New Roman" w:hAnsi="Times New Roman" w:cs="Times New Roman"/>
          <w:sz w:val="24"/>
        </w:rPr>
        <w:t>, 3372–3375, https://doi.org/10.1175/JAS4035.1.</w:t>
      </w:r>
    </w:p>
    <w:p w14:paraId="0064FAEF"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Kroft, P. J., J. R. Holton, J. A. Curry, and J. A. Pyle, 2003: </w:t>
      </w:r>
      <w:r w:rsidRPr="006422AD">
        <w:rPr>
          <w:rFonts w:ascii="Times New Roman" w:hAnsi="Times New Roman" w:cs="Times New Roman"/>
          <w:i/>
          <w:iCs/>
          <w:sz w:val="24"/>
        </w:rPr>
        <w:t>Encyclopedia of atmospheric sciences</w:t>
      </w:r>
      <w:r w:rsidRPr="006422AD">
        <w:rPr>
          <w:rFonts w:ascii="Times New Roman" w:hAnsi="Times New Roman" w:cs="Times New Roman"/>
          <w:sz w:val="24"/>
        </w:rPr>
        <w:t>. Academic Press, 2780 pp.</w:t>
      </w:r>
    </w:p>
    <w:p w14:paraId="3CFB55DA"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Kunkel, B. A., 1984: Parameterization of Droplet Terminal Velocity and Extinction Coefficient in Fog Models. </w:t>
      </w:r>
      <w:r w:rsidRPr="006422AD">
        <w:rPr>
          <w:rFonts w:ascii="Times New Roman" w:hAnsi="Times New Roman" w:cs="Times New Roman"/>
          <w:i/>
          <w:iCs/>
          <w:sz w:val="24"/>
        </w:rPr>
        <w:t>Journal of Applied Meteorology and Climatology</w:t>
      </w:r>
      <w:r w:rsidRPr="006422AD">
        <w:rPr>
          <w:rFonts w:ascii="Times New Roman" w:hAnsi="Times New Roman" w:cs="Times New Roman"/>
          <w:sz w:val="24"/>
        </w:rPr>
        <w:t xml:space="preserve">, </w:t>
      </w:r>
      <w:r w:rsidRPr="006422AD">
        <w:rPr>
          <w:rFonts w:ascii="Times New Roman" w:hAnsi="Times New Roman" w:cs="Times New Roman"/>
          <w:b/>
          <w:bCs/>
          <w:sz w:val="24"/>
        </w:rPr>
        <w:t>23</w:t>
      </w:r>
      <w:r w:rsidRPr="006422AD">
        <w:rPr>
          <w:rFonts w:ascii="Times New Roman" w:hAnsi="Times New Roman" w:cs="Times New Roman"/>
          <w:sz w:val="24"/>
        </w:rPr>
        <w:t>, 34–41, https://doi.org/10.1175/1520-0450(1984)023&lt;0034:PODTVA&gt;2.0.CO;2.</w:t>
      </w:r>
    </w:p>
    <w:p w14:paraId="11195A6D"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Lease, J. C., and C. S. Zeigler, 1972: Doing Away with Fog. </w:t>
      </w:r>
      <w:r w:rsidRPr="006422AD">
        <w:rPr>
          <w:rFonts w:ascii="Times New Roman" w:hAnsi="Times New Roman" w:cs="Times New Roman"/>
          <w:i/>
          <w:iCs/>
          <w:sz w:val="24"/>
        </w:rPr>
        <w:t>The Military Engineer</w:t>
      </w:r>
      <w:r w:rsidRPr="006422AD">
        <w:rPr>
          <w:rFonts w:ascii="Times New Roman" w:hAnsi="Times New Roman" w:cs="Times New Roman"/>
          <w:sz w:val="24"/>
        </w:rPr>
        <w:t xml:space="preserve">, </w:t>
      </w:r>
      <w:r w:rsidRPr="006422AD">
        <w:rPr>
          <w:rFonts w:ascii="Times New Roman" w:hAnsi="Times New Roman" w:cs="Times New Roman"/>
          <w:b/>
          <w:bCs/>
          <w:sz w:val="24"/>
        </w:rPr>
        <w:t>64</w:t>
      </w:r>
      <w:r w:rsidRPr="006422AD">
        <w:rPr>
          <w:rFonts w:ascii="Times New Roman" w:hAnsi="Times New Roman" w:cs="Times New Roman"/>
          <w:sz w:val="24"/>
        </w:rPr>
        <w:t>, 258–261.</w:t>
      </w:r>
    </w:p>
    <w:p w14:paraId="14AEBB60"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Leung, A. C. W., W. A. Gough, and K. A. Butler, 2020: Changes in Fog, Ice Fog, and Low Visibility in the Hudson Bay Region: Impacts on Aviation. </w:t>
      </w:r>
      <w:r w:rsidRPr="006422AD">
        <w:rPr>
          <w:rFonts w:ascii="Times New Roman" w:hAnsi="Times New Roman" w:cs="Times New Roman"/>
          <w:i/>
          <w:iCs/>
          <w:sz w:val="24"/>
        </w:rPr>
        <w:t>Atmosphere</w:t>
      </w:r>
      <w:r w:rsidRPr="006422AD">
        <w:rPr>
          <w:rFonts w:ascii="Times New Roman" w:hAnsi="Times New Roman" w:cs="Times New Roman"/>
          <w:sz w:val="24"/>
        </w:rPr>
        <w:t xml:space="preserve">, </w:t>
      </w:r>
      <w:r w:rsidRPr="006422AD">
        <w:rPr>
          <w:rFonts w:ascii="Times New Roman" w:hAnsi="Times New Roman" w:cs="Times New Roman"/>
          <w:b/>
          <w:bCs/>
          <w:sz w:val="24"/>
        </w:rPr>
        <w:t>11</w:t>
      </w:r>
      <w:r w:rsidRPr="006422AD">
        <w:rPr>
          <w:rFonts w:ascii="Times New Roman" w:hAnsi="Times New Roman" w:cs="Times New Roman"/>
          <w:sz w:val="24"/>
        </w:rPr>
        <w:t>, 186, https://doi.org/10.3390/atmos11020186.</w:t>
      </w:r>
    </w:p>
    <w:p w14:paraId="0E57190F"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Liu, D. Y., W. L. Yan, J. Yang, M. J. Pu, S. J. Niu, and Z. H. Li, 2016: A Study of the Physical Processes of an Advection Fog Boundary Layer. </w:t>
      </w:r>
      <w:r w:rsidRPr="006422AD">
        <w:rPr>
          <w:rFonts w:ascii="Times New Roman" w:hAnsi="Times New Roman" w:cs="Times New Roman"/>
          <w:i/>
          <w:iCs/>
          <w:sz w:val="24"/>
        </w:rPr>
        <w:t>Boundary-Layer Meteorol</w:t>
      </w:r>
      <w:r w:rsidRPr="006422AD">
        <w:rPr>
          <w:rFonts w:ascii="Times New Roman" w:hAnsi="Times New Roman" w:cs="Times New Roman"/>
          <w:sz w:val="24"/>
        </w:rPr>
        <w:t xml:space="preserve">, </w:t>
      </w:r>
      <w:r w:rsidRPr="006422AD">
        <w:rPr>
          <w:rFonts w:ascii="Times New Roman" w:hAnsi="Times New Roman" w:cs="Times New Roman"/>
          <w:b/>
          <w:bCs/>
          <w:sz w:val="24"/>
        </w:rPr>
        <w:t>158</w:t>
      </w:r>
      <w:r w:rsidRPr="006422AD">
        <w:rPr>
          <w:rFonts w:ascii="Times New Roman" w:hAnsi="Times New Roman" w:cs="Times New Roman"/>
          <w:sz w:val="24"/>
        </w:rPr>
        <w:t>, 125–138, https://doi.org/10.1007/s10546-015-0076-y.</w:t>
      </w:r>
    </w:p>
    <w:p w14:paraId="3E691D5B"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lastRenderedPageBreak/>
        <w:t xml:space="preserve">Liu, Q., B. Wu, Z. Wang, and T. Hao, 2020: Fog Droplet Size Distribution and the Interaction between Fog Droplets and Fine Particles during Dense Fog in Tianjin, China. </w:t>
      </w:r>
      <w:r w:rsidRPr="006422AD">
        <w:rPr>
          <w:rFonts w:ascii="Times New Roman" w:hAnsi="Times New Roman" w:cs="Times New Roman"/>
          <w:i/>
          <w:iCs/>
          <w:sz w:val="24"/>
        </w:rPr>
        <w:t>Atmosphere</w:t>
      </w:r>
      <w:r w:rsidRPr="006422AD">
        <w:rPr>
          <w:rFonts w:ascii="Times New Roman" w:hAnsi="Times New Roman" w:cs="Times New Roman"/>
          <w:sz w:val="24"/>
        </w:rPr>
        <w:t xml:space="preserve">, </w:t>
      </w:r>
      <w:r w:rsidRPr="006422AD">
        <w:rPr>
          <w:rFonts w:ascii="Times New Roman" w:hAnsi="Times New Roman" w:cs="Times New Roman"/>
          <w:b/>
          <w:bCs/>
          <w:sz w:val="24"/>
        </w:rPr>
        <w:t>11</w:t>
      </w:r>
      <w:r w:rsidRPr="006422AD">
        <w:rPr>
          <w:rFonts w:ascii="Times New Roman" w:hAnsi="Times New Roman" w:cs="Times New Roman"/>
          <w:sz w:val="24"/>
        </w:rPr>
        <w:t>, 258, https://doi.org/10.3390/atmos11030258.</w:t>
      </w:r>
    </w:p>
    <w:p w14:paraId="6197FBC8"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Liu, X. Y., 2000: Heterogeneous nucleation or homogeneous nucleation? </w:t>
      </w:r>
      <w:r w:rsidRPr="006422AD">
        <w:rPr>
          <w:rFonts w:ascii="Times New Roman" w:hAnsi="Times New Roman" w:cs="Times New Roman"/>
          <w:i/>
          <w:iCs/>
          <w:sz w:val="24"/>
        </w:rPr>
        <w:t>The Journal of Chemical Physics</w:t>
      </w:r>
      <w:r w:rsidRPr="006422AD">
        <w:rPr>
          <w:rFonts w:ascii="Times New Roman" w:hAnsi="Times New Roman" w:cs="Times New Roman"/>
          <w:sz w:val="24"/>
        </w:rPr>
        <w:t xml:space="preserve">, </w:t>
      </w:r>
      <w:r w:rsidRPr="006422AD">
        <w:rPr>
          <w:rFonts w:ascii="Times New Roman" w:hAnsi="Times New Roman" w:cs="Times New Roman"/>
          <w:b/>
          <w:bCs/>
          <w:sz w:val="24"/>
        </w:rPr>
        <w:t>112</w:t>
      </w:r>
      <w:r w:rsidRPr="006422AD">
        <w:rPr>
          <w:rFonts w:ascii="Times New Roman" w:hAnsi="Times New Roman" w:cs="Times New Roman"/>
          <w:sz w:val="24"/>
        </w:rPr>
        <w:t>, 9949–9955, https://doi.org/10.1063/1.481644.</w:t>
      </w:r>
    </w:p>
    <w:p w14:paraId="1EA30BB0"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Mason, J., 1982: The Physics of Radiation Fog. </w:t>
      </w:r>
      <w:r w:rsidRPr="006422AD">
        <w:rPr>
          <w:rFonts w:ascii="Times New Roman" w:hAnsi="Times New Roman" w:cs="Times New Roman"/>
          <w:i/>
          <w:iCs/>
          <w:sz w:val="24"/>
        </w:rPr>
        <w:t>Journal of the Meteorological Society of Japan. Ser. II</w:t>
      </w:r>
      <w:r w:rsidRPr="006422AD">
        <w:rPr>
          <w:rFonts w:ascii="Times New Roman" w:hAnsi="Times New Roman" w:cs="Times New Roman"/>
          <w:sz w:val="24"/>
        </w:rPr>
        <w:t xml:space="preserve">, </w:t>
      </w:r>
      <w:r w:rsidRPr="006422AD">
        <w:rPr>
          <w:rFonts w:ascii="Times New Roman" w:hAnsi="Times New Roman" w:cs="Times New Roman"/>
          <w:b/>
          <w:bCs/>
          <w:sz w:val="24"/>
        </w:rPr>
        <w:t>60</w:t>
      </w:r>
      <w:r w:rsidRPr="006422AD">
        <w:rPr>
          <w:rFonts w:ascii="Times New Roman" w:hAnsi="Times New Roman" w:cs="Times New Roman"/>
          <w:sz w:val="24"/>
        </w:rPr>
        <w:t>, 486–499, https://doi.org/10.2151/jmsj1965.60.1_486.</w:t>
      </w:r>
    </w:p>
    <w:p w14:paraId="70042538"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Michna, P., J. Schenk, R. A. Werner, and W. Eugster, 2013: MiniCASCC — A battery driven fog collector for ecosystem research. </w:t>
      </w:r>
      <w:r w:rsidRPr="006422AD">
        <w:rPr>
          <w:rFonts w:ascii="Times New Roman" w:hAnsi="Times New Roman" w:cs="Times New Roman"/>
          <w:i/>
          <w:iCs/>
          <w:sz w:val="24"/>
        </w:rPr>
        <w:t>Atmospheric Research</w:t>
      </w:r>
      <w:r w:rsidRPr="006422AD">
        <w:rPr>
          <w:rFonts w:ascii="Times New Roman" w:hAnsi="Times New Roman" w:cs="Times New Roman"/>
          <w:sz w:val="24"/>
        </w:rPr>
        <w:t xml:space="preserve">, </w:t>
      </w:r>
      <w:r w:rsidRPr="006422AD">
        <w:rPr>
          <w:rFonts w:ascii="Times New Roman" w:hAnsi="Times New Roman" w:cs="Times New Roman"/>
          <w:b/>
          <w:bCs/>
          <w:sz w:val="24"/>
        </w:rPr>
        <w:t>128</w:t>
      </w:r>
      <w:r w:rsidRPr="006422AD">
        <w:rPr>
          <w:rFonts w:ascii="Times New Roman" w:hAnsi="Times New Roman" w:cs="Times New Roman"/>
          <w:sz w:val="24"/>
        </w:rPr>
        <w:t>, 24–34, https://doi.org/10.1016/j.atmosres.2013.02.009.</w:t>
      </w:r>
    </w:p>
    <w:p w14:paraId="6A14BDB7"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National Oceanic and Atmospheric Administration, 2019: Federal Meteorological Handbook No.1, Surface Weather Observations and Reports.</w:t>
      </w:r>
    </w:p>
    <w:p w14:paraId="38BF16BC"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Oxtoby, D. W., 1992: Homogeneous nucleation: theory and experiment. </w:t>
      </w:r>
      <w:r w:rsidRPr="006422AD">
        <w:rPr>
          <w:rFonts w:ascii="Times New Roman" w:hAnsi="Times New Roman" w:cs="Times New Roman"/>
          <w:i/>
          <w:iCs/>
          <w:sz w:val="24"/>
        </w:rPr>
        <w:t>J. Phys.: Condens. Matter</w:t>
      </w:r>
      <w:r w:rsidRPr="006422AD">
        <w:rPr>
          <w:rFonts w:ascii="Times New Roman" w:hAnsi="Times New Roman" w:cs="Times New Roman"/>
          <w:sz w:val="24"/>
        </w:rPr>
        <w:t xml:space="preserve">, </w:t>
      </w:r>
      <w:r w:rsidRPr="006422AD">
        <w:rPr>
          <w:rFonts w:ascii="Times New Roman" w:hAnsi="Times New Roman" w:cs="Times New Roman"/>
          <w:b/>
          <w:bCs/>
          <w:sz w:val="24"/>
        </w:rPr>
        <w:t>4</w:t>
      </w:r>
      <w:r w:rsidRPr="006422AD">
        <w:rPr>
          <w:rFonts w:ascii="Times New Roman" w:hAnsi="Times New Roman" w:cs="Times New Roman"/>
          <w:sz w:val="24"/>
        </w:rPr>
        <w:t>, 7627, https://doi.org/10.1088/0953-8984/4/38/001.</w:t>
      </w:r>
    </w:p>
    <w:p w14:paraId="15D7EA70"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Park, M.-G., H.-S. Kang, and Y.-J. Kim, 2023: A Study on the Effectiveness of SCD Seeding Fog Dissipation Mechanism Using LiDAR Sensor. </w:t>
      </w:r>
      <w:r w:rsidRPr="006422AD">
        <w:rPr>
          <w:rFonts w:ascii="Times New Roman" w:hAnsi="Times New Roman" w:cs="Times New Roman"/>
          <w:i/>
          <w:iCs/>
          <w:sz w:val="24"/>
        </w:rPr>
        <w:t>Fluids</w:t>
      </w:r>
      <w:r w:rsidRPr="006422AD">
        <w:rPr>
          <w:rFonts w:ascii="Times New Roman" w:hAnsi="Times New Roman" w:cs="Times New Roman"/>
          <w:sz w:val="24"/>
        </w:rPr>
        <w:t xml:space="preserve">, </w:t>
      </w:r>
      <w:r w:rsidRPr="006422AD">
        <w:rPr>
          <w:rFonts w:ascii="Times New Roman" w:hAnsi="Times New Roman" w:cs="Times New Roman"/>
          <w:b/>
          <w:bCs/>
          <w:sz w:val="24"/>
        </w:rPr>
        <w:t>8</w:t>
      </w:r>
      <w:r w:rsidRPr="006422AD">
        <w:rPr>
          <w:rFonts w:ascii="Times New Roman" w:hAnsi="Times New Roman" w:cs="Times New Roman"/>
          <w:sz w:val="24"/>
        </w:rPr>
        <w:t>, 185, https://doi.org/10.3390/fluids8060185.</w:t>
      </w:r>
    </w:p>
    <w:p w14:paraId="174990C0"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Pruppacher, H. R., and J. D. Klett, 2010: Homogeneous Nucleation. </w:t>
      </w:r>
      <w:r w:rsidRPr="006422AD">
        <w:rPr>
          <w:rFonts w:ascii="Times New Roman" w:hAnsi="Times New Roman" w:cs="Times New Roman"/>
          <w:i/>
          <w:iCs/>
          <w:sz w:val="24"/>
        </w:rPr>
        <w:t>Microphysics of Clouds and Precipitation</w:t>
      </w:r>
      <w:r w:rsidRPr="006422AD">
        <w:rPr>
          <w:rFonts w:ascii="Times New Roman" w:hAnsi="Times New Roman" w:cs="Times New Roman"/>
          <w:sz w:val="24"/>
        </w:rPr>
        <w:t xml:space="preserve">, H.R. Pruppacher and J.D. Klett, Eds., </w:t>
      </w:r>
      <w:r w:rsidRPr="006422AD">
        <w:rPr>
          <w:rFonts w:ascii="Times New Roman" w:hAnsi="Times New Roman" w:cs="Times New Roman"/>
          <w:i/>
          <w:iCs/>
          <w:sz w:val="24"/>
        </w:rPr>
        <w:t>Atmospheric and Oceanographic Sciences Library</w:t>
      </w:r>
      <w:r w:rsidRPr="006422AD">
        <w:rPr>
          <w:rFonts w:ascii="Times New Roman" w:hAnsi="Times New Roman" w:cs="Times New Roman"/>
          <w:sz w:val="24"/>
        </w:rPr>
        <w:t>, Springer Netherlands, 191–215.</w:t>
      </w:r>
    </w:p>
    <w:p w14:paraId="7C42C2DA"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Riedl, A., Y. Li, J. Eugster, N. Buchmann, and W. Eugster, 2022: Technical note: High-accuracy weighing micro-lysimeter system for long-term measurements of non-rainfall water inputs to grasslands. </w:t>
      </w:r>
      <w:r w:rsidRPr="006422AD">
        <w:rPr>
          <w:rFonts w:ascii="Times New Roman" w:hAnsi="Times New Roman" w:cs="Times New Roman"/>
          <w:i/>
          <w:iCs/>
          <w:sz w:val="24"/>
        </w:rPr>
        <w:t>Hydrology and Earth System Sciences</w:t>
      </w:r>
      <w:r w:rsidRPr="006422AD">
        <w:rPr>
          <w:rFonts w:ascii="Times New Roman" w:hAnsi="Times New Roman" w:cs="Times New Roman"/>
          <w:sz w:val="24"/>
        </w:rPr>
        <w:t xml:space="preserve">, </w:t>
      </w:r>
      <w:r w:rsidRPr="006422AD">
        <w:rPr>
          <w:rFonts w:ascii="Times New Roman" w:hAnsi="Times New Roman" w:cs="Times New Roman"/>
          <w:b/>
          <w:bCs/>
          <w:sz w:val="24"/>
        </w:rPr>
        <w:t>26</w:t>
      </w:r>
      <w:r w:rsidRPr="006422AD">
        <w:rPr>
          <w:rFonts w:ascii="Times New Roman" w:hAnsi="Times New Roman" w:cs="Times New Roman"/>
          <w:sz w:val="24"/>
        </w:rPr>
        <w:t>, 91–116, https://doi.org/10.5194/hess-26-91-2022.</w:t>
      </w:r>
    </w:p>
    <w:p w14:paraId="283A32BD"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Ryznar, E., 1977: Advection-radiation fog near lake Michigan. </w:t>
      </w:r>
      <w:r w:rsidRPr="006422AD">
        <w:rPr>
          <w:rFonts w:ascii="Times New Roman" w:hAnsi="Times New Roman" w:cs="Times New Roman"/>
          <w:i/>
          <w:iCs/>
          <w:sz w:val="24"/>
        </w:rPr>
        <w:t>Atmospheric Environment (1967)</w:t>
      </w:r>
      <w:r w:rsidRPr="006422AD">
        <w:rPr>
          <w:rFonts w:ascii="Times New Roman" w:hAnsi="Times New Roman" w:cs="Times New Roman"/>
          <w:sz w:val="24"/>
        </w:rPr>
        <w:t xml:space="preserve">, </w:t>
      </w:r>
      <w:r w:rsidRPr="006422AD">
        <w:rPr>
          <w:rFonts w:ascii="Times New Roman" w:hAnsi="Times New Roman" w:cs="Times New Roman"/>
          <w:b/>
          <w:bCs/>
          <w:sz w:val="24"/>
        </w:rPr>
        <w:t>11</w:t>
      </w:r>
      <w:r w:rsidRPr="006422AD">
        <w:rPr>
          <w:rFonts w:ascii="Times New Roman" w:hAnsi="Times New Roman" w:cs="Times New Roman"/>
          <w:sz w:val="24"/>
        </w:rPr>
        <w:t>, 427–430, https://doi.org/10.1016/0004-6981(77)90004-X.</w:t>
      </w:r>
    </w:p>
    <w:p w14:paraId="5BB934C8"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Schaefer, V. J., 1946: The Production of Ice Crystals in a Cloud of Supercooled Water Droplets. </w:t>
      </w:r>
      <w:r w:rsidRPr="006422AD">
        <w:rPr>
          <w:rFonts w:ascii="Times New Roman" w:hAnsi="Times New Roman" w:cs="Times New Roman"/>
          <w:i/>
          <w:iCs/>
          <w:sz w:val="24"/>
        </w:rPr>
        <w:t>Science</w:t>
      </w:r>
      <w:r w:rsidRPr="006422AD">
        <w:rPr>
          <w:rFonts w:ascii="Times New Roman" w:hAnsi="Times New Roman" w:cs="Times New Roman"/>
          <w:sz w:val="24"/>
        </w:rPr>
        <w:t xml:space="preserve">, </w:t>
      </w:r>
      <w:r w:rsidRPr="006422AD">
        <w:rPr>
          <w:rFonts w:ascii="Times New Roman" w:hAnsi="Times New Roman" w:cs="Times New Roman"/>
          <w:b/>
          <w:bCs/>
          <w:sz w:val="24"/>
        </w:rPr>
        <w:t>104</w:t>
      </w:r>
      <w:r w:rsidRPr="006422AD">
        <w:rPr>
          <w:rFonts w:ascii="Times New Roman" w:hAnsi="Times New Roman" w:cs="Times New Roman"/>
          <w:sz w:val="24"/>
        </w:rPr>
        <w:t>, 457, https://doi.org/10.1126/science.104.2707.457.</w:t>
      </w:r>
    </w:p>
    <w:p w14:paraId="6B2AB85E"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 1968: the early history of weather modification. </w:t>
      </w:r>
      <w:r w:rsidRPr="006422AD">
        <w:rPr>
          <w:rFonts w:ascii="Times New Roman" w:hAnsi="Times New Roman" w:cs="Times New Roman"/>
          <w:i/>
          <w:iCs/>
          <w:sz w:val="24"/>
        </w:rPr>
        <w:t>Bulletin of the American Meteorological Society</w:t>
      </w:r>
      <w:r w:rsidRPr="006422AD">
        <w:rPr>
          <w:rFonts w:ascii="Times New Roman" w:hAnsi="Times New Roman" w:cs="Times New Roman"/>
          <w:sz w:val="24"/>
        </w:rPr>
        <w:t xml:space="preserve">, </w:t>
      </w:r>
      <w:r w:rsidRPr="006422AD">
        <w:rPr>
          <w:rFonts w:ascii="Times New Roman" w:hAnsi="Times New Roman" w:cs="Times New Roman"/>
          <w:b/>
          <w:bCs/>
          <w:sz w:val="24"/>
        </w:rPr>
        <w:t>49</w:t>
      </w:r>
      <w:r w:rsidRPr="006422AD">
        <w:rPr>
          <w:rFonts w:ascii="Times New Roman" w:hAnsi="Times New Roman" w:cs="Times New Roman"/>
          <w:sz w:val="24"/>
        </w:rPr>
        <w:t>, 337–342.</w:t>
      </w:r>
    </w:p>
    <w:p w14:paraId="60EFD493"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Stolaki, S. N., S. A. Kazadzis, D. V. Foris, and T. S. Karacostas, 2009: Fog characteristics at the airport of Thessaloniki, Greece. </w:t>
      </w:r>
      <w:r w:rsidRPr="006422AD">
        <w:rPr>
          <w:rFonts w:ascii="Times New Roman" w:hAnsi="Times New Roman" w:cs="Times New Roman"/>
          <w:i/>
          <w:iCs/>
          <w:sz w:val="24"/>
        </w:rPr>
        <w:t>Natural Hazards and Earth System Sciences</w:t>
      </w:r>
      <w:r w:rsidRPr="006422AD">
        <w:rPr>
          <w:rFonts w:ascii="Times New Roman" w:hAnsi="Times New Roman" w:cs="Times New Roman"/>
          <w:sz w:val="24"/>
        </w:rPr>
        <w:t xml:space="preserve">, </w:t>
      </w:r>
      <w:r w:rsidRPr="006422AD">
        <w:rPr>
          <w:rFonts w:ascii="Times New Roman" w:hAnsi="Times New Roman" w:cs="Times New Roman"/>
          <w:b/>
          <w:bCs/>
          <w:sz w:val="24"/>
        </w:rPr>
        <w:t>9</w:t>
      </w:r>
      <w:r w:rsidRPr="006422AD">
        <w:rPr>
          <w:rFonts w:ascii="Times New Roman" w:hAnsi="Times New Roman" w:cs="Times New Roman"/>
          <w:sz w:val="24"/>
        </w:rPr>
        <w:t>, 1541–1549, https://doi.org/10.5194/nhess-9-1541-2009.</w:t>
      </w:r>
    </w:p>
    <w:p w14:paraId="6BBAF0EE"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Storelvmo, T., and T. Ivy, 2015: The Wegener-Bergeron-Findeison process - Its discovery and vital importance for weather and climate. </w:t>
      </w:r>
      <w:r w:rsidRPr="006422AD">
        <w:rPr>
          <w:rFonts w:ascii="Times New Roman" w:hAnsi="Times New Roman" w:cs="Times New Roman"/>
          <w:i/>
          <w:iCs/>
          <w:sz w:val="24"/>
        </w:rPr>
        <w:t>Meteorologische Zeitschrift</w:t>
      </w:r>
      <w:r w:rsidRPr="006422AD">
        <w:rPr>
          <w:rFonts w:ascii="Times New Roman" w:hAnsi="Times New Roman" w:cs="Times New Roman"/>
          <w:sz w:val="24"/>
        </w:rPr>
        <w:t>,.</w:t>
      </w:r>
    </w:p>
    <w:p w14:paraId="7DB9B904"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lastRenderedPageBreak/>
        <w:t xml:space="preserve">Vardiman, L., E. D. Figgins, and H. S. Appleman, 1971: Operational Dissipation of Supercooled Fog Using Liquid Propane. </w:t>
      </w:r>
      <w:r w:rsidRPr="006422AD">
        <w:rPr>
          <w:rFonts w:ascii="Times New Roman" w:hAnsi="Times New Roman" w:cs="Times New Roman"/>
          <w:i/>
          <w:iCs/>
          <w:sz w:val="24"/>
        </w:rPr>
        <w:t>Journal of Applied Meteorology and Climatology</w:t>
      </w:r>
      <w:r w:rsidRPr="006422AD">
        <w:rPr>
          <w:rFonts w:ascii="Times New Roman" w:hAnsi="Times New Roman" w:cs="Times New Roman"/>
          <w:sz w:val="24"/>
        </w:rPr>
        <w:t xml:space="preserve">, </w:t>
      </w:r>
      <w:r w:rsidRPr="006422AD">
        <w:rPr>
          <w:rFonts w:ascii="Times New Roman" w:hAnsi="Times New Roman" w:cs="Times New Roman"/>
          <w:b/>
          <w:bCs/>
          <w:sz w:val="24"/>
        </w:rPr>
        <w:t>10</w:t>
      </w:r>
      <w:r w:rsidRPr="006422AD">
        <w:rPr>
          <w:rFonts w:ascii="Times New Roman" w:hAnsi="Times New Roman" w:cs="Times New Roman"/>
          <w:sz w:val="24"/>
        </w:rPr>
        <w:t>, 515–525, https://doi.org/10.1175/1520-0450(1971)010&lt;0515:ODOSFU&gt;2.0.CO;2.</w:t>
      </w:r>
    </w:p>
    <w:p w14:paraId="58FBD7A5"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Vonnegut, B., 1947: The Nucleation of Ice Formation by Silver Iodide. </w:t>
      </w:r>
      <w:r w:rsidRPr="006422AD">
        <w:rPr>
          <w:rFonts w:ascii="Times New Roman" w:hAnsi="Times New Roman" w:cs="Times New Roman"/>
          <w:i/>
          <w:iCs/>
          <w:sz w:val="24"/>
        </w:rPr>
        <w:t>Journal of Applied Physics</w:t>
      </w:r>
      <w:r w:rsidRPr="006422AD">
        <w:rPr>
          <w:rFonts w:ascii="Times New Roman" w:hAnsi="Times New Roman" w:cs="Times New Roman"/>
          <w:sz w:val="24"/>
        </w:rPr>
        <w:t xml:space="preserve">, </w:t>
      </w:r>
      <w:r w:rsidRPr="006422AD">
        <w:rPr>
          <w:rFonts w:ascii="Times New Roman" w:hAnsi="Times New Roman" w:cs="Times New Roman"/>
          <w:b/>
          <w:bCs/>
          <w:sz w:val="24"/>
        </w:rPr>
        <w:t>18</w:t>
      </w:r>
      <w:r w:rsidRPr="006422AD">
        <w:rPr>
          <w:rFonts w:ascii="Times New Roman" w:hAnsi="Times New Roman" w:cs="Times New Roman"/>
          <w:sz w:val="24"/>
        </w:rPr>
        <w:t>, 593–595, https://doi.org/10.1063/1.1697813.</w:t>
      </w:r>
    </w:p>
    <w:p w14:paraId="508CC542"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Weinstein, A. I., 1974: Projected Utilization of Warm Fog Dispersal Systems at Several Major Airports. </w:t>
      </w:r>
      <w:r w:rsidRPr="006422AD">
        <w:rPr>
          <w:rFonts w:ascii="Times New Roman" w:hAnsi="Times New Roman" w:cs="Times New Roman"/>
          <w:i/>
          <w:iCs/>
          <w:sz w:val="24"/>
        </w:rPr>
        <w:t>Journal of Applied Meteorology and Climatology</w:t>
      </w:r>
      <w:r w:rsidRPr="006422AD">
        <w:rPr>
          <w:rFonts w:ascii="Times New Roman" w:hAnsi="Times New Roman" w:cs="Times New Roman"/>
          <w:sz w:val="24"/>
        </w:rPr>
        <w:t xml:space="preserve">, </w:t>
      </w:r>
      <w:r w:rsidRPr="006422AD">
        <w:rPr>
          <w:rFonts w:ascii="Times New Roman" w:hAnsi="Times New Roman" w:cs="Times New Roman"/>
          <w:b/>
          <w:bCs/>
          <w:sz w:val="24"/>
        </w:rPr>
        <w:t>13</w:t>
      </w:r>
      <w:r w:rsidRPr="006422AD">
        <w:rPr>
          <w:rFonts w:ascii="Times New Roman" w:hAnsi="Times New Roman" w:cs="Times New Roman"/>
          <w:sz w:val="24"/>
        </w:rPr>
        <w:t>, 788–795, https://doi.org/10.1175/1520-0450(1974)013&lt;0788:PUOWFD&gt;2.0.CO;2.</w:t>
      </w:r>
    </w:p>
    <w:p w14:paraId="43785988"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 1977: Fog Dispersal: A Technology Assessment. </w:t>
      </w:r>
      <w:r w:rsidRPr="006422AD">
        <w:rPr>
          <w:rFonts w:ascii="Times New Roman" w:hAnsi="Times New Roman" w:cs="Times New Roman"/>
          <w:i/>
          <w:iCs/>
          <w:sz w:val="24"/>
        </w:rPr>
        <w:t>J. Aircraft</w:t>
      </w:r>
      <w:r w:rsidRPr="006422AD">
        <w:rPr>
          <w:rFonts w:ascii="Times New Roman" w:hAnsi="Times New Roman" w:cs="Times New Roman"/>
          <w:sz w:val="24"/>
        </w:rPr>
        <w:t xml:space="preserve">, </w:t>
      </w:r>
      <w:r w:rsidRPr="006422AD">
        <w:rPr>
          <w:rFonts w:ascii="Times New Roman" w:hAnsi="Times New Roman" w:cs="Times New Roman"/>
          <w:b/>
          <w:bCs/>
          <w:sz w:val="24"/>
        </w:rPr>
        <w:t>14</w:t>
      </w:r>
      <w:r w:rsidRPr="006422AD">
        <w:rPr>
          <w:rFonts w:ascii="Times New Roman" w:hAnsi="Times New Roman" w:cs="Times New Roman"/>
          <w:sz w:val="24"/>
        </w:rPr>
        <w:t>.</w:t>
      </w:r>
    </w:p>
    <w:p w14:paraId="7B0F871A"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 and B. A. Silverman, 1973: A Numerical Analysis of Some Practical Aspects of Airborne Urea Seeding for Warm Fog Dispersal at Airports. </w:t>
      </w:r>
      <w:r w:rsidRPr="006422AD">
        <w:rPr>
          <w:rFonts w:ascii="Times New Roman" w:hAnsi="Times New Roman" w:cs="Times New Roman"/>
          <w:i/>
          <w:iCs/>
          <w:sz w:val="24"/>
        </w:rPr>
        <w:t>Journal of Applied Meteorology and Climatology</w:t>
      </w:r>
      <w:r w:rsidRPr="006422AD">
        <w:rPr>
          <w:rFonts w:ascii="Times New Roman" w:hAnsi="Times New Roman" w:cs="Times New Roman"/>
          <w:sz w:val="24"/>
        </w:rPr>
        <w:t xml:space="preserve">, </w:t>
      </w:r>
      <w:r w:rsidRPr="006422AD">
        <w:rPr>
          <w:rFonts w:ascii="Times New Roman" w:hAnsi="Times New Roman" w:cs="Times New Roman"/>
          <w:b/>
          <w:bCs/>
          <w:sz w:val="24"/>
        </w:rPr>
        <w:t>12</w:t>
      </w:r>
      <w:r w:rsidRPr="006422AD">
        <w:rPr>
          <w:rFonts w:ascii="Times New Roman" w:hAnsi="Times New Roman" w:cs="Times New Roman"/>
          <w:sz w:val="24"/>
        </w:rPr>
        <w:t>, 771–780, https://doi.org/10.1175/1520-0450(1973)012&lt;0771:ANAOSP&gt;2.0.CO;2.</w:t>
      </w:r>
    </w:p>
    <w:p w14:paraId="1DBEE257"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 and J. R. Hicks, 1976: Use of Compressed Air for Supercooled Fog Dispersal. </w:t>
      </w:r>
      <w:r w:rsidRPr="006422AD">
        <w:rPr>
          <w:rFonts w:ascii="Times New Roman" w:hAnsi="Times New Roman" w:cs="Times New Roman"/>
          <w:i/>
          <w:iCs/>
          <w:sz w:val="24"/>
        </w:rPr>
        <w:t>Journal of Applied Meteorology (1962-1982)</w:t>
      </w:r>
      <w:r w:rsidRPr="006422AD">
        <w:rPr>
          <w:rFonts w:ascii="Times New Roman" w:hAnsi="Times New Roman" w:cs="Times New Roman"/>
          <w:sz w:val="24"/>
        </w:rPr>
        <w:t xml:space="preserve">, </w:t>
      </w:r>
      <w:r w:rsidRPr="006422AD">
        <w:rPr>
          <w:rFonts w:ascii="Times New Roman" w:hAnsi="Times New Roman" w:cs="Times New Roman"/>
          <w:b/>
          <w:bCs/>
          <w:sz w:val="24"/>
        </w:rPr>
        <w:t>15</w:t>
      </w:r>
      <w:r w:rsidRPr="006422AD">
        <w:rPr>
          <w:rFonts w:ascii="Times New Roman" w:hAnsi="Times New Roman" w:cs="Times New Roman"/>
          <w:sz w:val="24"/>
        </w:rPr>
        <w:t>, 1226–1231.</w:t>
      </w:r>
    </w:p>
    <w:p w14:paraId="3EFDDAAE"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Willett, H. C., 1928: FOG AND HAZE, THEIR CAUSES, DISTRIBUTION, AND FORECASTING. </w:t>
      </w:r>
      <w:r w:rsidRPr="006422AD">
        <w:rPr>
          <w:rFonts w:ascii="Times New Roman" w:hAnsi="Times New Roman" w:cs="Times New Roman"/>
          <w:i/>
          <w:iCs/>
          <w:sz w:val="24"/>
        </w:rPr>
        <w:t>Monthly Weather Review</w:t>
      </w:r>
      <w:r w:rsidRPr="006422AD">
        <w:rPr>
          <w:rFonts w:ascii="Times New Roman" w:hAnsi="Times New Roman" w:cs="Times New Roman"/>
          <w:sz w:val="24"/>
        </w:rPr>
        <w:t xml:space="preserve">, </w:t>
      </w:r>
      <w:r w:rsidRPr="006422AD">
        <w:rPr>
          <w:rFonts w:ascii="Times New Roman" w:hAnsi="Times New Roman" w:cs="Times New Roman"/>
          <w:b/>
          <w:bCs/>
          <w:sz w:val="24"/>
        </w:rPr>
        <w:t>56</w:t>
      </w:r>
      <w:r w:rsidRPr="006422AD">
        <w:rPr>
          <w:rFonts w:ascii="Times New Roman" w:hAnsi="Times New Roman" w:cs="Times New Roman"/>
          <w:sz w:val="24"/>
        </w:rPr>
        <w:t>, 435–468, https://doi.org/10.1175/1520-0493(1928)56&lt;435:FAHTCD&gt;2.0.CO;2.</w:t>
      </w:r>
    </w:p>
    <w:p w14:paraId="2BBB0C18" w14:textId="77777777" w:rsidR="006422AD" w:rsidRPr="006422AD" w:rsidRDefault="006422AD" w:rsidP="006422AD">
      <w:pPr>
        <w:pStyle w:val="Bibliography"/>
        <w:rPr>
          <w:rFonts w:ascii="Times New Roman" w:hAnsi="Times New Roman" w:cs="Times New Roman"/>
          <w:sz w:val="24"/>
        </w:rPr>
      </w:pPr>
      <w:r w:rsidRPr="006422AD">
        <w:rPr>
          <w:rFonts w:ascii="Times New Roman" w:hAnsi="Times New Roman" w:cs="Times New Roman"/>
          <w:sz w:val="24"/>
        </w:rPr>
        <w:t xml:space="preserve">Zinke, J., and Coauthors, 2021: The development of a miniaturised balloon-borne cloud water sampler and its first deployment in the high Arctic. </w:t>
      </w:r>
      <w:r w:rsidRPr="006422AD">
        <w:rPr>
          <w:rFonts w:ascii="Times New Roman" w:hAnsi="Times New Roman" w:cs="Times New Roman"/>
          <w:i/>
          <w:iCs/>
          <w:sz w:val="24"/>
        </w:rPr>
        <w:t>Tellus B: Chemical and Physical Meteorology</w:t>
      </w:r>
      <w:r w:rsidRPr="006422AD">
        <w:rPr>
          <w:rFonts w:ascii="Times New Roman" w:hAnsi="Times New Roman" w:cs="Times New Roman"/>
          <w:sz w:val="24"/>
        </w:rPr>
        <w:t xml:space="preserve">, </w:t>
      </w:r>
      <w:r w:rsidRPr="006422AD">
        <w:rPr>
          <w:rFonts w:ascii="Times New Roman" w:hAnsi="Times New Roman" w:cs="Times New Roman"/>
          <w:b/>
          <w:bCs/>
          <w:sz w:val="24"/>
        </w:rPr>
        <w:t>73</w:t>
      </w:r>
      <w:r w:rsidRPr="006422AD">
        <w:rPr>
          <w:rFonts w:ascii="Times New Roman" w:hAnsi="Times New Roman" w:cs="Times New Roman"/>
          <w:sz w:val="24"/>
        </w:rPr>
        <w:t>, 1–12, https://doi.org/10.1080/16000889.2021.1915614.</w:t>
      </w:r>
    </w:p>
    <w:p w14:paraId="66826F9E" w14:textId="5262BB8E" w:rsidR="00B52833" w:rsidRPr="00B52833" w:rsidRDefault="00AF0B1B" w:rsidP="001E6CCF">
      <w:pPr>
        <w:pStyle w:val="Bibliography"/>
        <w:ind w:left="0" w:firstLine="0"/>
        <w:rPr>
          <w:rFonts w:ascii="Times New Roman" w:hAnsi="Times New Roman" w:cs="Times New Roman"/>
          <w:sz w:val="24"/>
          <w:szCs w:val="24"/>
        </w:rPr>
      </w:pPr>
      <w:r>
        <w:rPr>
          <w:rFonts w:ascii="Times New Roman" w:hAnsi="Times New Roman" w:cs="Times New Roman"/>
          <w:sz w:val="24"/>
          <w:szCs w:val="24"/>
        </w:rPr>
        <w:fldChar w:fldCharType="end"/>
      </w:r>
    </w:p>
    <w:sectPr w:rsidR="00B52833" w:rsidRPr="00B52833" w:rsidSect="006A194A">
      <w:type w:val="continuous"/>
      <w:pgSz w:w="12240" w:h="15840" w:code="1"/>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70D1B4" w14:textId="77777777" w:rsidR="00CD1C8E" w:rsidRDefault="00CD1C8E" w:rsidP="00442412">
      <w:pPr>
        <w:spacing w:after="0"/>
      </w:pPr>
      <w:r>
        <w:separator/>
      </w:r>
    </w:p>
  </w:endnote>
  <w:endnote w:type="continuationSeparator" w:id="0">
    <w:p w14:paraId="4848B399" w14:textId="77777777" w:rsidR="00CD1C8E" w:rsidRDefault="00CD1C8E" w:rsidP="0044241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1963092"/>
      <w:docPartObj>
        <w:docPartGallery w:val="Page Numbers (Bottom of Page)"/>
        <w:docPartUnique/>
      </w:docPartObj>
    </w:sdtPr>
    <w:sdtEndPr>
      <w:rPr>
        <w:noProof/>
      </w:rPr>
    </w:sdtEndPr>
    <w:sdtContent>
      <w:p w14:paraId="5EAA4517" w14:textId="6158DCC5" w:rsidR="005F350E" w:rsidRDefault="005F350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07768CF" w14:textId="77777777" w:rsidR="005F350E" w:rsidRDefault="005F350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116761"/>
      <w:docPartObj>
        <w:docPartGallery w:val="Page Numbers (Bottom of Page)"/>
        <w:docPartUnique/>
      </w:docPartObj>
    </w:sdtPr>
    <w:sdtEndPr>
      <w:rPr>
        <w:noProof/>
      </w:rPr>
    </w:sdtEndPr>
    <w:sdtContent>
      <w:p w14:paraId="2E734F6C" w14:textId="4D8EE4EE" w:rsidR="005F350E" w:rsidRDefault="005F350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3146BB" w14:textId="77777777" w:rsidR="005F350E" w:rsidRDefault="005F35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41CE3A" w14:textId="77777777" w:rsidR="00CD1C8E" w:rsidRDefault="00CD1C8E" w:rsidP="00442412">
      <w:pPr>
        <w:spacing w:after="0"/>
      </w:pPr>
      <w:r>
        <w:separator/>
      </w:r>
    </w:p>
  </w:footnote>
  <w:footnote w:type="continuationSeparator" w:id="0">
    <w:p w14:paraId="4C2054C2" w14:textId="77777777" w:rsidR="00CD1C8E" w:rsidRDefault="00CD1C8E" w:rsidP="00442412">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06426"/>
    <w:multiLevelType w:val="multilevel"/>
    <w:tmpl w:val="B22CF1F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6D664D4"/>
    <w:multiLevelType w:val="hybridMultilevel"/>
    <w:tmpl w:val="E58E01E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0908AE"/>
    <w:multiLevelType w:val="hybridMultilevel"/>
    <w:tmpl w:val="4E743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512139"/>
    <w:multiLevelType w:val="hybridMultilevel"/>
    <w:tmpl w:val="6612474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A4D6946"/>
    <w:multiLevelType w:val="hybridMultilevel"/>
    <w:tmpl w:val="E200C48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BB84510"/>
    <w:multiLevelType w:val="hybridMultilevel"/>
    <w:tmpl w:val="A434F474"/>
    <w:lvl w:ilvl="0" w:tplc="EC225A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950D6C"/>
    <w:multiLevelType w:val="multilevel"/>
    <w:tmpl w:val="1A8EF7B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09F6351"/>
    <w:multiLevelType w:val="hybridMultilevel"/>
    <w:tmpl w:val="47E23F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545D78"/>
    <w:multiLevelType w:val="multilevel"/>
    <w:tmpl w:val="07CEC1EE"/>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5824E19"/>
    <w:multiLevelType w:val="hybridMultilevel"/>
    <w:tmpl w:val="55FE75D4"/>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58E16FF"/>
    <w:multiLevelType w:val="hybridMultilevel"/>
    <w:tmpl w:val="1DDE20A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DC25726"/>
    <w:multiLevelType w:val="hybridMultilevel"/>
    <w:tmpl w:val="3A44C010"/>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1F80160C"/>
    <w:multiLevelType w:val="hybridMultilevel"/>
    <w:tmpl w:val="04AC86F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C835C31"/>
    <w:multiLevelType w:val="hybridMultilevel"/>
    <w:tmpl w:val="AE20B186"/>
    <w:lvl w:ilvl="0" w:tplc="D60C4280">
      <w:start w:val="1"/>
      <w:numFmt w:val="decimal"/>
      <w:pStyle w:val="Bullet-TextForma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D5A2141"/>
    <w:multiLevelType w:val="hybridMultilevel"/>
    <w:tmpl w:val="F1943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543261"/>
    <w:multiLevelType w:val="hybridMultilevel"/>
    <w:tmpl w:val="C4F2243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CC16AE"/>
    <w:multiLevelType w:val="hybridMultilevel"/>
    <w:tmpl w:val="B00405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490874A7"/>
    <w:multiLevelType w:val="hybridMultilevel"/>
    <w:tmpl w:val="14AC51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9B15F60"/>
    <w:multiLevelType w:val="hybridMultilevel"/>
    <w:tmpl w:val="86A041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F2691A"/>
    <w:multiLevelType w:val="multilevel"/>
    <w:tmpl w:val="1A8EF7B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EA00EA7"/>
    <w:multiLevelType w:val="hybridMultilevel"/>
    <w:tmpl w:val="AB0C7D4E"/>
    <w:lvl w:ilvl="0" w:tplc="B36A5B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6344CFD"/>
    <w:multiLevelType w:val="hybridMultilevel"/>
    <w:tmpl w:val="F9B88C38"/>
    <w:lvl w:ilvl="0" w:tplc="094A98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BAB4E39"/>
    <w:multiLevelType w:val="multilevel"/>
    <w:tmpl w:val="FBC40FE0"/>
    <w:lvl w:ilvl="0">
      <w:start w:val="1"/>
      <w:numFmt w:val="decimal"/>
      <w:lvlText w:val="%1"/>
      <w:lvlJc w:val="left"/>
      <w:pPr>
        <w:ind w:left="360" w:hanging="360"/>
      </w:pPr>
      <w:rPr>
        <w:rFonts w:hint="default"/>
      </w:rPr>
    </w:lvl>
    <w:lvl w:ilvl="1">
      <w:start w:val="1"/>
      <w:numFmt w:val="decimal"/>
      <w:pStyle w:val="Heading2"/>
      <w:lvlText w:val="%1.%2"/>
      <w:lvlJc w:val="left"/>
      <w:pPr>
        <w:ind w:left="360" w:hanging="360"/>
      </w:p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7DE928FB"/>
    <w:multiLevelType w:val="hybridMultilevel"/>
    <w:tmpl w:val="5896F794"/>
    <w:lvl w:ilvl="0" w:tplc="9DF40E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F540A05"/>
    <w:multiLevelType w:val="multilevel"/>
    <w:tmpl w:val="45B460BA"/>
    <w:lvl w:ilvl="0">
      <w:start w:val="1"/>
      <w:numFmt w:val="decimal"/>
      <w:lvlText w:val="%1"/>
      <w:lvlJc w:val="left"/>
      <w:pPr>
        <w:ind w:left="360" w:hanging="360"/>
      </w:pPr>
      <w:rPr>
        <w:rFonts w:hint="default"/>
      </w:rPr>
    </w:lvl>
    <w:lvl w:ilvl="1">
      <w:start w:val="1"/>
      <w:numFmt w:val="upperRoman"/>
      <w:lvlText w:val="%2."/>
      <w:lvlJc w:val="left"/>
      <w:pPr>
        <w:ind w:left="360" w:hanging="360"/>
      </w:pPr>
      <w:rPr>
        <w:rFonts w:ascii="Times New Roman" w:eastAsiaTheme="minorHAnsi"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7FF1171F"/>
    <w:multiLevelType w:val="hybridMultilevel"/>
    <w:tmpl w:val="6916CC7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364334628">
    <w:abstractNumId w:val="2"/>
  </w:num>
  <w:num w:numId="2" w16cid:durableId="1824160105">
    <w:abstractNumId w:val="14"/>
  </w:num>
  <w:num w:numId="3" w16cid:durableId="674502035">
    <w:abstractNumId w:val="7"/>
  </w:num>
  <w:num w:numId="4" w16cid:durableId="1464422019">
    <w:abstractNumId w:val="24"/>
  </w:num>
  <w:num w:numId="5" w16cid:durableId="5596043">
    <w:abstractNumId w:val="19"/>
  </w:num>
  <w:num w:numId="6" w16cid:durableId="282343784">
    <w:abstractNumId w:val="6"/>
  </w:num>
  <w:num w:numId="7" w16cid:durableId="1616137734">
    <w:abstractNumId w:val="8"/>
  </w:num>
  <w:num w:numId="8" w16cid:durableId="189294663">
    <w:abstractNumId w:val="22"/>
  </w:num>
  <w:num w:numId="9" w16cid:durableId="1709335493">
    <w:abstractNumId w:val="5"/>
  </w:num>
  <w:num w:numId="10" w16cid:durableId="1699770293">
    <w:abstractNumId w:val="0"/>
  </w:num>
  <w:num w:numId="11" w16cid:durableId="1850636629">
    <w:abstractNumId w:val="3"/>
  </w:num>
  <w:num w:numId="12" w16cid:durableId="360933426">
    <w:abstractNumId w:val="1"/>
  </w:num>
  <w:num w:numId="13" w16cid:durableId="1998217437">
    <w:abstractNumId w:val="15"/>
  </w:num>
  <w:num w:numId="14" w16cid:durableId="556744903">
    <w:abstractNumId w:val="18"/>
  </w:num>
  <w:num w:numId="15" w16cid:durableId="1292056250">
    <w:abstractNumId w:val="10"/>
  </w:num>
  <w:num w:numId="16" w16cid:durableId="1980841873">
    <w:abstractNumId w:val="25"/>
  </w:num>
  <w:num w:numId="17" w16cid:durableId="1040981542">
    <w:abstractNumId w:val="4"/>
  </w:num>
  <w:num w:numId="18" w16cid:durableId="420414286">
    <w:abstractNumId w:val="21"/>
  </w:num>
  <w:num w:numId="19" w16cid:durableId="294453926">
    <w:abstractNumId w:val="11"/>
  </w:num>
  <w:num w:numId="20" w16cid:durableId="1353266329">
    <w:abstractNumId w:val="17"/>
  </w:num>
  <w:num w:numId="21" w16cid:durableId="1424765650">
    <w:abstractNumId w:val="20"/>
  </w:num>
  <w:num w:numId="22" w16cid:durableId="194119089">
    <w:abstractNumId w:val="12"/>
  </w:num>
  <w:num w:numId="23" w16cid:durableId="976493843">
    <w:abstractNumId w:val="23"/>
  </w:num>
  <w:num w:numId="24" w16cid:durableId="405299053">
    <w:abstractNumId w:val="16"/>
  </w:num>
  <w:num w:numId="25" w16cid:durableId="777216923">
    <w:abstractNumId w:val="13"/>
  </w:num>
  <w:num w:numId="26" w16cid:durableId="127100924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style="mso-position-vertical-relative:line" fillcolor="white" stroke="f">
      <v:fill color="white"/>
      <v:stroke on="f"/>
      <v:textbox style="mso-fit-shape-to-text:t"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3EB"/>
    <w:rsid w:val="000000B6"/>
    <w:rsid w:val="00004B05"/>
    <w:rsid w:val="00005897"/>
    <w:rsid w:val="00006DFF"/>
    <w:rsid w:val="0000723D"/>
    <w:rsid w:val="00007522"/>
    <w:rsid w:val="00010370"/>
    <w:rsid w:val="00011341"/>
    <w:rsid w:val="00012695"/>
    <w:rsid w:val="000126F5"/>
    <w:rsid w:val="00014086"/>
    <w:rsid w:val="000161CC"/>
    <w:rsid w:val="00017711"/>
    <w:rsid w:val="0002268B"/>
    <w:rsid w:val="00022A8F"/>
    <w:rsid w:val="00024F7A"/>
    <w:rsid w:val="00025CDC"/>
    <w:rsid w:val="00026D8E"/>
    <w:rsid w:val="000272D4"/>
    <w:rsid w:val="00027C1B"/>
    <w:rsid w:val="00027E38"/>
    <w:rsid w:val="00031A17"/>
    <w:rsid w:val="00032560"/>
    <w:rsid w:val="00032593"/>
    <w:rsid w:val="000339EA"/>
    <w:rsid w:val="00034D43"/>
    <w:rsid w:val="00035A4E"/>
    <w:rsid w:val="000364E1"/>
    <w:rsid w:val="00037164"/>
    <w:rsid w:val="0004022E"/>
    <w:rsid w:val="000421E8"/>
    <w:rsid w:val="000422B1"/>
    <w:rsid w:val="00042A47"/>
    <w:rsid w:val="0004388B"/>
    <w:rsid w:val="00043EAB"/>
    <w:rsid w:val="00044833"/>
    <w:rsid w:val="000475F2"/>
    <w:rsid w:val="00047AAB"/>
    <w:rsid w:val="000514CC"/>
    <w:rsid w:val="00052CF4"/>
    <w:rsid w:val="000543AD"/>
    <w:rsid w:val="00055803"/>
    <w:rsid w:val="00055ED2"/>
    <w:rsid w:val="000561C6"/>
    <w:rsid w:val="00056E97"/>
    <w:rsid w:val="0005779C"/>
    <w:rsid w:val="00060BE3"/>
    <w:rsid w:val="00062154"/>
    <w:rsid w:val="00062C15"/>
    <w:rsid w:val="0006327E"/>
    <w:rsid w:val="00063B0E"/>
    <w:rsid w:val="00064958"/>
    <w:rsid w:val="00066AA4"/>
    <w:rsid w:val="0006740E"/>
    <w:rsid w:val="00067834"/>
    <w:rsid w:val="000712BF"/>
    <w:rsid w:val="00071359"/>
    <w:rsid w:val="000717F0"/>
    <w:rsid w:val="0007204A"/>
    <w:rsid w:val="000727F2"/>
    <w:rsid w:val="00073D86"/>
    <w:rsid w:val="00073FAF"/>
    <w:rsid w:val="00075C73"/>
    <w:rsid w:val="00076FCF"/>
    <w:rsid w:val="00077061"/>
    <w:rsid w:val="00077C81"/>
    <w:rsid w:val="00077E40"/>
    <w:rsid w:val="00077ECF"/>
    <w:rsid w:val="00080AE7"/>
    <w:rsid w:val="000820BD"/>
    <w:rsid w:val="00082256"/>
    <w:rsid w:val="000825AF"/>
    <w:rsid w:val="00082986"/>
    <w:rsid w:val="00082BE8"/>
    <w:rsid w:val="000837EB"/>
    <w:rsid w:val="00083E8E"/>
    <w:rsid w:val="000847C5"/>
    <w:rsid w:val="00084D1D"/>
    <w:rsid w:val="00085EE7"/>
    <w:rsid w:val="00086131"/>
    <w:rsid w:val="000861A9"/>
    <w:rsid w:val="000865E7"/>
    <w:rsid w:val="00086681"/>
    <w:rsid w:val="000906C5"/>
    <w:rsid w:val="00091060"/>
    <w:rsid w:val="000910A8"/>
    <w:rsid w:val="0009191A"/>
    <w:rsid w:val="000920C6"/>
    <w:rsid w:val="0009247B"/>
    <w:rsid w:val="00092EE3"/>
    <w:rsid w:val="000938A2"/>
    <w:rsid w:val="00094F8F"/>
    <w:rsid w:val="000955A1"/>
    <w:rsid w:val="00095B76"/>
    <w:rsid w:val="00096D20"/>
    <w:rsid w:val="00097502"/>
    <w:rsid w:val="00097826"/>
    <w:rsid w:val="000A088E"/>
    <w:rsid w:val="000A2101"/>
    <w:rsid w:val="000A232A"/>
    <w:rsid w:val="000A296D"/>
    <w:rsid w:val="000A2C70"/>
    <w:rsid w:val="000A3D4E"/>
    <w:rsid w:val="000A4DAA"/>
    <w:rsid w:val="000A50AE"/>
    <w:rsid w:val="000A5651"/>
    <w:rsid w:val="000A63F8"/>
    <w:rsid w:val="000A64EF"/>
    <w:rsid w:val="000A78D4"/>
    <w:rsid w:val="000B0E46"/>
    <w:rsid w:val="000B41AD"/>
    <w:rsid w:val="000B4E2B"/>
    <w:rsid w:val="000B5D02"/>
    <w:rsid w:val="000B7C82"/>
    <w:rsid w:val="000C06BC"/>
    <w:rsid w:val="000C0E2F"/>
    <w:rsid w:val="000C1D2E"/>
    <w:rsid w:val="000C1D54"/>
    <w:rsid w:val="000C38CB"/>
    <w:rsid w:val="000C3B68"/>
    <w:rsid w:val="000C5443"/>
    <w:rsid w:val="000C5D98"/>
    <w:rsid w:val="000C60B1"/>
    <w:rsid w:val="000C6E77"/>
    <w:rsid w:val="000C6FF5"/>
    <w:rsid w:val="000C75FD"/>
    <w:rsid w:val="000D175B"/>
    <w:rsid w:val="000D191A"/>
    <w:rsid w:val="000D2F09"/>
    <w:rsid w:val="000D3B3B"/>
    <w:rsid w:val="000D3C2D"/>
    <w:rsid w:val="000D619A"/>
    <w:rsid w:val="000D6D25"/>
    <w:rsid w:val="000D6DD3"/>
    <w:rsid w:val="000D71E9"/>
    <w:rsid w:val="000D78DA"/>
    <w:rsid w:val="000D7B7A"/>
    <w:rsid w:val="000E00BC"/>
    <w:rsid w:val="000E147F"/>
    <w:rsid w:val="000E3026"/>
    <w:rsid w:val="000E4FA4"/>
    <w:rsid w:val="000E59F1"/>
    <w:rsid w:val="000E7EC0"/>
    <w:rsid w:val="000F069A"/>
    <w:rsid w:val="000F0B5F"/>
    <w:rsid w:val="000F1265"/>
    <w:rsid w:val="000F156C"/>
    <w:rsid w:val="000F177D"/>
    <w:rsid w:val="000F4A0E"/>
    <w:rsid w:val="000F5AC6"/>
    <w:rsid w:val="000F5E99"/>
    <w:rsid w:val="000F65DF"/>
    <w:rsid w:val="001019E6"/>
    <w:rsid w:val="00101F4A"/>
    <w:rsid w:val="0010236F"/>
    <w:rsid w:val="00102C36"/>
    <w:rsid w:val="0010362E"/>
    <w:rsid w:val="001049E5"/>
    <w:rsid w:val="0010510E"/>
    <w:rsid w:val="00105635"/>
    <w:rsid w:val="0010654D"/>
    <w:rsid w:val="00106981"/>
    <w:rsid w:val="00106DE7"/>
    <w:rsid w:val="00107E6E"/>
    <w:rsid w:val="001117C7"/>
    <w:rsid w:val="00111E38"/>
    <w:rsid w:val="0011200F"/>
    <w:rsid w:val="001123B0"/>
    <w:rsid w:val="0011286E"/>
    <w:rsid w:val="00113A97"/>
    <w:rsid w:val="00115F05"/>
    <w:rsid w:val="00116266"/>
    <w:rsid w:val="00116C25"/>
    <w:rsid w:val="0011758C"/>
    <w:rsid w:val="001201B9"/>
    <w:rsid w:val="001218EE"/>
    <w:rsid w:val="00123F00"/>
    <w:rsid w:val="001251F3"/>
    <w:rsid w:val="00126883"/>
    <w:rsid w:val="0013028D"/>
    <w:rsid w:val="00130A92"/>
    <w:rsid w:val="00130D5D"/>
    <w:rsid w:val="00132225"/>
    <w:rsid w:val="0013347A"/>
    <w:rsid w:val="00133DEC"/>
    <w:rsid w:val="001341C0"/>
    <w:rsid w:val="001342BC"/>
    <w:rsid w:val="00134E19"/>
    <w:rsid w:val="00134E40"/>
    <w:rsid w:val="001358E3"/>
    <w:rsid w:val="001370D7"/>
    <w:rsid w:val="00137650"/>
    <w:rsid w:val="00137AEB"/>
    <w:rsid w:val="001408F9"/>
    <w:rsid w:val="00141F44"/>
    <w:rsid w:val="001422FE"/>
    <w:rsid w:val="00150831"/>
    <w:rsid w:val="00150C67"/>
    <w:rsid w:val="00151036"/>
    <w:rsid w:val="00151853"/>
    <w:rsid w:val="00151B42"/>
    <w:rsid w:val="001526CC"/>
    <w:rsid w:val="0015392D"/>
    <w:rsid w:val="00154194"/>
    <w:rsid w:val="001542C6"/>
    <w:rsid w:val="00154F9A"/>
    <w:rsid w:val="00155C10"/>
    <w:rsid w:val="00156110"/>
    <w:rsid w:val="001569FC"/>
    <w:rsid w:val="00156C37"/>
    <w:rsid w:val="00157741"/>
    <w:rsid w:val="00157B71"/>
    <w:rsid w:val="0016069E"/>
    <w:rsid w:val="001607C9"/>
    <w:rsid w:val="0016172D"/>
    <w:rsid w:val="0016263C"/>
    <w:rsid w:val="00163506"/>
    <w:rsid w:val="00164429"/>
    <w:rsid w:val="00164577"/>
    <w:rsid w:val="00166017"/>
    <w:rsid w:val="001676F9"/>
    <w:rsid w:val="001704C4"/>
    <w:rsid w:val="00170ADB"/>
    <w:rsid w:val="00170D2F"/>
    <w:rsid w:val="00172CC8"/>
    <w:rsid w:val="001730AF"/>
    <w:rsid w:val="001732D2"/>
    <w:rsid w:val="0017609E"/>
    <w:rsid w:val="001762DF"/>
    <w:rsid w:val="00177072"/>
    <w:rsid w:val="00180E80"/>
    <w:rsid w:val="00181006"/>
    <w:rsid w:val="0018361C"/>
    <w:rsid w:val="00184897"/>
    <w:rsid w:val="00190762"/>
    <w:rsid w:val="00192097"/>
    <w:rsid w:val="0019265A"/>
    <w:rsid w:val="001936B7"/>
    <w:rsid w:val="00193D80"/>
    <w:rsid w:val="00193EBB"/>
    <w:rsid w:val="00195866"/>
    <w:rsid w:val="00196B3E"/>
    <w:rsid w:val="00197AF3"/>
    <w:rsid w:val="001A04BC"/>
    <w:rsid w:val="001A142E"/>
    <w:rsid w:val="001A34C0"/>
    <w:rsid w:val="001A400B"/>
    <w:rsid w:val="001A5BF3"/>
    <w:rsid w:val="001A5FD0"/>
    <w:rsid w:val="001A7242"/>
    <w:rsid w:val="001B137B"/>
    <w:rsid w:val="001B13F0"/>
    <w:rsid w:val="001B177B"/>
    <w:rsid w:val="001B1FCE"/>
    <w:rsid w:val="001B4226"/>
    <w:rsid w:val="001B450E"/>
    <w:rsid w:val="001B4DC9"/>
    <w:rsid w:val="001B6D4F"/>
    <w:rsid w:val="001B7714"/>
    <w:rsid w:val="001B787D"/>
    <w:rsid w:val="001B7D28"/>
    <w:rsid w:val="001B7E34"/>
    <w:rsid w:val="001B7F3E"/>
    <w:rsid w:val="001C0537"/>
    <w:rsid w:val="001C422F"/>
    <w:rsid w:val="001C5289"/>
    <w:rsid w:val="001C65EE"/>
    <w:rsid w:val="001C7962"/>
    <w:rsid w:val="001D0220"/>
    <w:rsid w:val="001D02E2"/>
    <w:rsid w:val="001D0928"/>
    <w:rsid w:val="001D1E3A"/>
    <w:rsid w:val="001D3BC4"/>
    <w:rsid w:val="001D556F"/>
    <w:rsid w:val="001D6730"/>
    <w:rsid w:val="001E0235"/>
    <w:rsid w:val="001E06E9"/>
    <w:rsid w:val="001E12A4"/>
    <w:rsid w:val="001E158F"/>
    <w:rsid w:val="001E1D34"/>
    <w:rsid w:val="001E2A9E"/>
    <w:rsid w:val="001E44B0"/>
    <w:rsid w:val="001E5B35"/>
    <w:rsid w:val="001E6CCF"/>
    <w:rsid w:val="001E6F0C"/>
    <w:rsid w:val="001F003B"/>
    <w:rsid w:val="001F07C0"/>
    <w:rsid w:val="001F1161"/>
    <w:rsid w:val="001F13F2"/>
    <w:rsid w:val="001F1B60"/>
    <w:rsid w:val="001F1E2D"/>
    <w:rsid w:val="001F2D2C"/>
    <w:rsid w:val="001F3869"/>
    <w:rsid w:val="001F49D8"/>
    <w:rsid w:val="001F6FE6"/>
    <w:rsid w:val="001F7929"/>
    <w:rsid w:val="00200F07"/>
    <w:rsid w:val="00202AB6"/>
    <w:rsid w:val="00202BCE"/>
    <w:rsid w:val="00203FEB"/>
    <w:rsid w:val="00205AAE"/>
    <w:rsid w:val="00205D69"/>
    <w:rsid w:val="002067C7"/>
    <w:rsid w:val="002068B8"/>
    <w:rsid w:val="002071BA"/>
    <w:rsid w:val="002115D9"/>
    <w:rsid w:val="00211E6F"/>
    <w:rsid w:val="0021277B"/>
    <w:rsid w:val="00213B8E"/>
    <w:rsid w:val="002143E2"/>
    <w:rsid w:val="002160B3"/>
    <w:rsid w:val="00217819"/>
    <w:rsid w:val="00217B2A"/>
    <w:rsid w:val="0022073B"/>
    <w:rsid w:val="0022102F"/>
    <w:rsid w:val="00221B94"/>
    <w:rsid w:val="00222BF5"/>
    <w:rsid w:val="00222E64"/>
    <w:rsid w:val="00222F17"/>
    <w:rsid w:val="00223DB2"/>
    <w:rsid w:val="002245AA"/>
    <w:rsid w:val="00224F22"/>
    <w:rsid w:val="0022552E"/>
    <w:rsid w:val="00226891"/>
    <w:rsid w:val="00226BF4"/>
    <w:rsid w:val="00230750"/>
    <w:rsid w:val="0023189E"/>
    <w:rsid w:val="0023255B"/>
    <w:rsid w:val="002326DB"/>
    <w:rsid w:val="002331DC"/>
    <w:rsid w:val="002331FD"/>
    <w:rsid w:val="00234C8F"/>
    <w:rsid w:val="00236A4F"/>
    <w:rsid w:val="00236EB8"/>
    <w:rsid w:val="002373EB"/>
    <w:rsid w:val="00240D9C"/>
    <w:rsid w:val="00241EA2"/>
    <w:rsid w:val="00242814"/>
    <w:rsid w:val="00243AC6"/>
    <w:rsid w:val="0024451F"/>
    <w:rsid w:val="0024690F"/>
    <w:rsid w:val="00247CCA"/>
    <w:rsid w:val="0025004A"/>
    <w:rsid w:val="00250475"/>
    <w:rsid w:val="00250ECC"/>
    <w:rsid w:val="00251E3B"/>
    <w:rsid w:val="0025261F"/>
    <w:rsid w:val="002526C2"/>
    <w:rsid w:val="00253392"/>
    <w:rsid w:val="002541A9"/>
    <w:rsid w:val="00254966"/>
    <w:rsid w:val="00255F46"/>
    <w:rsid w:val="0025632D"/>
    <w:rsid w:val="00257A51"/>
    <w:rsid w:val="00257D76"/>
    <w:rsid w:val="00261EA8"/>
    <w:rsid w:val="002629DD"/>
    <w:rsid w:val="00263360"/>
    <w:rsid w:val="00263BE1"/>
    <w:rsid w:val="00265575"/>
    <w:rsid w:val="002657BC"/>
    <w:rsid w:val="0027090D"/>
    <w:rsid w:val="002712AD"/>
    <w:rsid w:val="00271727"/>
    <w:rsid w:val="00272E74"/>
    <w:rsid w:val="00274659"/>
    <w:rsid w:val="00275095"/>
    <w:rsid w:val="0027509A"/>
    <w:rsid w:val="00275186"/>
    <w:rsid w:val="002751FB"/>
    <w:rsid w:val="00276FC7"/>
    <w:rsid w:val="0027721B"/>
    <w:rsid w:val="002777E0"/>
    <w:rsid w:val="00277B6F"/>
    <w:rsid w:val="00280143"/>
    <w:rsid w:val="00281E5B"/>
    <w:rsid w:val="00282208"/>
    <w:rsid w:val="0028458E"/>
    <w:rsid w:val="00284A90"/>
    <w:rsid w:val="002857C1"/>
    <w:rsid w:val="00287961"/>
    <w:rsid w:val="002901A4"/>
    <w:rsid w:val="002902DB"/>
    <w:rsid w:val="002908F5"/>
    <w:rsid w:val="00291FBF"/>
    <w:rsid w:val="002922E8"/>
    <w:rsid w:val="002924A3"/>
    <w:rsid w:val="00292674"/>
    <w:rsid w:val="00294AC3"/>
    <w:rsid w:val="00294EA1"/>
    <w:rsid w:val="002955A6"/>
    <w:rsid w:val="0029578C"/>
    <w:rsid w:val="00296056"/>
    <w:rsid w:val="002970DC"/>
    <w:rsid w:val="002976D4"/>
    <w:rsid w:val="002A1C4D"/>
    <w:rsid w:val="002A40E8"/>
    <w:rsid w:val="002A5623"/>
    <w:rsid w:val="002A5B92"/>
    <w:rsid w:val="002A683E"/>
    <w:rsid w:val="002B18B0"/>
    <w:rsid w:val="002B2EFB"/>
    <w:rsid w:val="002B55DB"/>
    <w:rsid w:val="002B6091"/>
    <w:rsid w:val="002B6142"/>
    <w:rsid w:val="002B6575"/>
    <w:rsid w:val="002B69DF"/>
    <w:rsid w:val="002B6C47"/>
    <w:rsid w:val="002B7A3D"/>
    <w:rsid w:val="002B7CA0"/>
    <w:rsid w:val="002C08C1"/>
    <w:rsid w:val="002C1163"/>
    <w:rsid w:val="002C2DFC"/>
    <w:rsid w:val="002C3363"/>
    <w:rsid w:val="002C4D7E"/>
    <w:rsid w:val="002C5841"/>
    <w:rsid w:val="002D08C2"/>
    <w:rsid w:val="002D1498"/>
    <w:rsid w:val="002D2F4A"/>
    <w:rsid w:val="002D3C9D"/>
    <w:rsid w:val="002D4004"/>
    <w:rsid w:val="002D531A"/>
    <w:rsid w:val="002D54F6"/>
    <w:rsid w:val="002D73B0"/>
    <w:rsid w:val="002D79B7"/>
    <w:rsid w:val="002D7C3F"/>
    <w:rsid w:val="002E0FEF"/>
    <w:rsid w:val="002E1302"/>
    <w:rsid w:val="002E211C"/>
    <w:rsid w:val="002E237D"/>
    <w:rsid w:val="002E29B1"/>
    <w:rsid w:val="002E3997"/>
    <w:rsid w:val="002E4219"/>
    <w:rsid w:val="002E46CE"/>
    <w:rsid w:val="002E4C1C"/>
    <w:rsid w:val="002E4DF4"/>
    <w:rsid w:val="002E4F05"/>
    <w:rsid w:val="002E5F7D"/>
    <w:rsid w:val="002E7815"/>
    <w:rsid w:val="002F3AB3"/>
    <w:rsid w:val="002F4B83"/>
    <w:rsid w:val="002F55B1"/>
    <w:rsid w:val="002F5806"/>
    <w:rsid w:val="002F7640"/>
    <w:rsid w:val="00300140"/>
    <w:rsid w:val="00300194"/>
    <w:rsid w:val="00301275"/>
    <w:rsid w:val="00301ABF"/>
    <w:rsid w:val="00303120"/>
    <w:rsid w:val="0030346B"/>
    <w:rsid w:val="0030431A"/>
    <w:rsid w:val="003056A3"/>
    <w:rsid w:val="003061CC"/>
    <w:rsid w:val="00306F9D"/>
    <w:rsid w:val="00310642"/>
    <w:rsid w:val="00310C99"/>
    <w:rsid w:val="00311FAD"/>
    <w:rsid w:val="00313CEC"/>
    <w:rsid w:val="00314642"/>
    <w:rsid w:val="003149FE"/>
    <w:rsid w:val="00316310"/>
    <w:rsid w:val="00316BE8"/>
    <w:rsid w:val="003208D4"/>
    <w:rsid w:val="003209F1"/>
    <w:rsid w:val="00321E61"/>
    <w:rsid w:val="00322503"/>
    <w:rsid w:val="0032251C"/>
    <w:rsid w:val="00322709"/>
    <w:rsid w:val="00322FB8"/>
    <w:rsid w:val="00323906"/>
    <w:rsid w:val="003247E2"/>
    <w:rsid w:val="0032488A"/>
    <w:rsid w:val="00326827"/>
    <w:rsid w:val="00327B82"/>
    <w:rsid w:val="00330313"/>
    <w:rsid w:val="00331648"/>
    <w:rsid w:val="00332641"/>
    <w:rsid w:val="00332779"/>
    <w:rsid w:val="003328AC"/>
    <w:rsid w:val="00332ABE"/>
    <w:rsid w:val="003333AC"/>
    <w:rsid w:val="003346C2"/>
    <w:rsid w:val="00334F02"/>
    <w:rsid w:val="003354AA"/>
    <w:rsid w:val="0033629C"/>
    <w:rsid w:val="003362DA"/>
    <w:rsid w:val="00336B11"/>
    <w:rsid w:val="00336C01"/>
    <w:rsid w:val="00336D42"/>
    <w:rsid w:val="00337D0A"/>
    <w:rsid w:val="00337EC0"/>
    <w:rsid w:val="00337EE4"/>
    <w:rsid w:val="00341C6E"/>
    <w:rsid w:val="00343E1F"/>
    <w:rsid w:val="00344CE0"/>
    <w:rsid w:val="00345D15"/>
    <w:rsid w:val="00346E79"/>
    <w:rsid w:val="00350319"/>
    <w:rsid w:val="00350A6D"/>
    <w:rsid w:val="00350B21"/>
    <w:rsid w:val="0035195A"/>
    <w:rsid w:val="00352A2E"/>
    <w:rsid w:val="00352AD2"/>
    <w:rsid w:val="00353B82"/>
    <w:rsid w:val="00355A95"/>
    <w:rsid w:val="0035761A"/>
    <w:rsid w:val="00360152"/>
    <w:rsid w:val="00360A4E"/>
    <w:rsid w:val="00361918"/>
    <w:rsid w:val="00363D3F"/>
    <w:rsid w:val="00364FE8"/>
    <w:rsid w:val="0036589B"/>
    <w:rsid w:val="003670F8"/>
    <w:rsid w:val="00370CE9"/>
    <w:rsid w:val="00371349"/>
    <w:rsid w:val="00371F3E"/>
    <w:rsid w:val="00373B4D"/>
    <w:rsid w:val="0037405A"/>
    <w:rsid w:val="003742B1"/>
    <w:rsid w:val="00374F8C"/>
    <w:rsid w:val="00377B3F"/>
    <w:rsid w:val="003813F3"/>
    <w:rsid w:val="003814F6"/>
    <w:rsid w:val="00382E15"/>
    <w:rsid w:val="003845BE"/>
    <w:rsid w:val="00384C36"/>
    <w:rsid w:val="00385FBF"/>
    <w:rsid w:val="00386631"/>
    <w:rsid w:val="00387B53"/>
    <w:rsid w:val="00387DFF"/>
    <w:rsid w:val="00390F8D"/>
    <w:rsid w:val="003910B6"/>
    <w:rsid w:val="0039169B"/>
    <w:rsid w:val="00391B1A"/>
    <w:rsid w:val="00392460"/>
    <w:rsid w:val="00394A38"/>
    <w:rsid w:val="003951E0"/>
    <w:rsid w:val="003953F8"/>
    <w:rsid w:val="003955E3"/>
    <w:rsid w:val="003955EC"/>
    <w:rsid w:val="00397050"/>
    <w:rsid w:val="003A02D3"/>
    <w:rsid w:val="003A039B"/>
    <w:rsid w:val="003A05F2"/>
    <w:rsid w:val="003A0939"/>
    <w:rsid w:val="003A231A"/>
    <w:rsid w:val="003A26E0"/>
    <w:rsid w:val="003A2DE6"/>
    <w:rsid w:val="003A3CAA"/>
    <w:rsid w:val="003A57E4"/>
    <w:rsid w:val="003A5DB1"/>
    <w:rsid w:val="003A7917"/>
    <w:rsid w:val="003A7E1B"/>
    <w:rsid w:val="003B186C"/>
    <w:rsid w:val="003B2049"/>
    <w:rsid w:val="003B2685"/>
    <w:rsid w:val="003B4106"/>
    <w:rsid w:val="003B471C"/>
    <w:rsid w:val="003B5406"/>
    <w:rsid w:val="003B5432"/>
    <w:rsid w:val="003B6457"/>
    <w:rsid w:val="003C01CD"/>
    <w:rsid w:val="003C0F31"/>
    <w:rsid w:val="003C20AA"/>
    <w:rsid w:val="003C28A1"/>
    <w:rsid w:val="003C4979"/>
    <w:rsid w:val="003C58A5"/>
    <w:rsid w:val="003D0B83"/>
    <w:rsid w:val="003D153E"/>
    <w:rsid w:val="003D26BD"/>
    <w:rsid w:val="003D2BEC"/>
    <w:rsid w:val="003D365B"/>
    <w:rsid w:val="003D4B54"/>
    <w:rsid w:val="003D53C8"/>
    <w:rsid w:val="003D68C3"/>
    <w:rsid w:val="003D6DE9"/>
    <w:rsid w:val="003E0198"/>
    <w:rsid w:val="003E0240"/>
    <w:rsid w:val="003E2035"/>
    <w:rsid w:val="003E2443"/>
    <w:rsid w:val="003E30E3"/>
    <w:rsid w:val="003E3216"/>
    <w:rsid w:val="003E48E9"/>
    <w:rsid w:val="003E4DFA"/>
    <w:rsid w:val="003E4F45"/>
    <w:rsid w:val="003E60D0"/>
    <w:rsid w:val="003E6B74"/>
    <w:rsid w:val="003F11CD"/>
    <w:rsid w:val="003F1A35"/>
    <w:rsid w:val="003F26DE"/>
    <w:rsid w:val="003F34CB"/>
    <w:rsid w:val="003F5EB2"/>
    <w:rsid w:val="004000DB"/>
    <w:rsid w:val="00400594"/>
    <w:rsid w:val="00400C3C"/>
    <w:rsid w:val="00400D1D"/>
    <w:rsid w:val="004010B6"/>
    <w:rsid w:val="00401B3A"/>
    <w:rsid w:val="004058F4"/>
    <w:rsid w:val="00406850"/>
    <w:rsid w:val="00406FF9"/>
    <w:rsid w:val="004117E2"/>
    <w:rsid w:val="00412AEC"/>
    <w:rsid w:val="00412C76"/>
    <w:rsid w:val="00414560"/>
    <w:rsid w:val="004146E2"/>
    <w:rsid w:val="00415499"/>
    <w:rsid w:val="004154F4"/>
    <w:rsid w:val="00415EB2"/>
    <w:rsid w:val="0041642B"/>
    <w:rsid w:val="004166C1"/>
    <w:rsid w:val="00416EA3"/>
    <w:rsid w:val="00420237"/>
    <w:rsid w:val="004203D4"/>
    <w:rsid w:val="00420C0D"/>
    <w:rsid w:val="00420DE5"/>
    <w:rsid w:val="004220B0"/>
    <w:rsid w:val="004225A7"/>
    <w:rsid w:val="0042271A"/>
    <w:rsid w:val="00422ED9"/>
    <w:rsid w:val="00423601"/>
    <w:rsid w:val="00426131"/>
    <w:rsid w:val="004301B7"/>
    <w:rsid w:val="00430B61"/>
    <w:rsid w:val="00431253"/>
    <w:rsid w:val="00432DFC"/>
    <w:rsid w:val="004341F3"/>
    <w:rsid w:val="004347AE"/>
    <w:rsid w:val="004347B5"/>
    <w:rsid w:val="00435813"/>
    <w:rsid w:val="00437739"/>
    <w:rsid w:val="00441B7E"/>
    <w:rsid w:val="00441D68"/>
    <w:rsid w:val="00442412"/>
    <w:rsid w:val="004425CC"/>
    <w:rsid w:val="00442CD8"/>
    <w:rsid w:val="00443C37"/>
    <w:rsid w:val="004441DD"/>
    <w:rsid w:val="00444AFB"/>
    <w:rsid w:val="00445C8A"/>
    <w:rsid w:val="00446314"/>
    <w:rsid w:val="004474E8"/>
    <w:rsid w:val="004477B7"/>
    <w:rsid w:val="00450897"/>
    <w:rsid w:val="00450F09"/>
    <w:rsid w:val="00451817"/>
    <w:rsid w:val="00452155"/>
    <w:rsid w:val="00452676"/>
    <w:rsid w:val="00452AE4"/>
    <w:rsid w:val="00454476"/>
    <w:rsid w:val="00455090"/>
    <w:rsid w:val="00455719"/>
    <w:rsid w:val="00456415"/>
    <w:rsid w:val="00456F83"/>
    <w:rsid w:val="004600CF"/>
    <w:rsid w:val="00461711"/>
    <w:rsid w:val="0046262A"/>
    <w:rsid w:val="00463761"/>
    <w:rsid w:val="0046552E"/>
    <w:rsid w:val="0046633C"/>
    <w:rsid w:val="00471FE7"/>
    <w:rsid w:val="0047238D"/>
    <w:rsid w:val="00472AE7"/>
    <w:rsid w:val="0047406D"/>
    <w:rsid w:val="00474D9B"/>
    <w:rsid w:val="00475BD2"/>
    <w:rsid w:val="0047688E"/>
    <w:rsid w:val="0047728E"/>
    <w:rsid w:val="004773B9"/>
    <w:rsid w:val="00477F7C"/>
    <w:rsid w:val="0048007F"/>
    <w:rsid w:val="0048081C"/>
    <w:rsid w:val="00480F2E"/>
    <w:rsid w:val="004818F7"/>
    <w:rsid w:val="00482DFD"/>
    <w:rsid w:val="0048335B"/>
    <w:rsid w:val="00483547"/>
    <w:rsid w:val="00483951"/>
    <w:rsid w:val="004847A4"/>
    <w:rsid w:val="00485C9E"/>
    <w:rsid w:val="00486DB9"/>
    <w:rsid w:val="0048723F"/>
    <w:rsid w:val="00487D31"/>
    <w:rsid w:val="00490E01"/>
    <w:rsid w:val="004928BA"/>
    <w:rsid w:val="00494DD9"/>
    <w:rsid w:val="00495DB8"/>
    <w:rsid w:val="004977DF"/>
    <w:rsid w:val="0049781C"/>
    <w:rsid w:val="004A04F4"/>
    <w:rsid w:val="004A0C0D"/>
    <w:rsid w:val="004A1A90"/>
    <w:rsid w:val="004A48B6"/>
    <w:rsid w:val="004A5152"/>
    <w:rsid w:val="004A53FE"/>
    <w:rsid w:val="004A5F8A"/>
    <w:rsid w:val="004A62CB"/>
    <w:rsid w:val="004A6412"/>
    <w:rsid w:val="004A7252"/>
    <w:rsid w:val="004B100D"/>
    <w:rsid w:val="004B2754"/>
    <w:rsid w:val="004B3DBB"/>
    <w:rsid w:val="004B5C0B"/>
    <w:rsid w:val="004B6600"/>
    <w:rsid w:val="004B6882"/>
    <w:rsid w:val="004B7072"/>
    <w:rsid w:val="004C00FB"/>
    <w:rsid w:val="004C044B"/>
    <w:rsid w:val="004C13DA"/>
    <w:rsid w:val="004C3930"/>
    <w:rsid w:val="004C51FA"/>
    <w:rsid w:val="004D1758"/>
    <w:rsid w:val="004D2337"/>
    <w:rsid w:val="004D302F"/>
    <w:rsid w:val="004D32B1"/>
    <w:rsid w:val="004D350B"/>
    <w:rsid w:val="004D38A8"/>
    <w:rsid w:val="004D4292"/>
    <w:rsid w:val="004D59A1"/>
    <w:rsid w:val="004D609F"/>
    <w:rsid w:val="004D6464"/>
    <w:rsid w:val="004D65F4"/>
    <w:rsid w:val="004D66F5"/>
    <w:rsid w:val="004E11A3"/>
    <w:rsid w:val="004E1267"/>
    <w:rsid w:val="004E16D6"/>
    <w:rsid w:val="004E1BA3"/>
    <w:rsid w:val="004E333B"/>
    <w:rsid w:val="004E3FF3"/>
    <w:rsid w:val="004E4AE3"/>
    <w:rsid w:val="004E4D55"/>
    <w:rsid w:val="004E4F9A"/>
    <w:rsid w:val="004E5429"/>
    <w:rsid w:val="004E54D1"/>
    <w:rsid w:val="004E56CF"/>
    <w:rsid w:val="004E5A13"/>
    <w:rsid w:val="004E6632"/>
    <w:rsid w:val="004E78FF"/>
    <w:rsid w:val="004E7948"/>
    <w:rsid w:val="004F08A0"/>
    <w:rsid w:val="004F20BB"/>
    <w:rsid w:val="004F2B36"/>
    <w:rsid w:val="004F2C1C"/>
    <w:rsid w:val="004F4964"/>
    <w:rsid w:val="004F6D55"/>
    <w:rsid w:val="004F6FFF"/>
    <w:rsid w:val="004F7134"/>
    <w:rsid w:val="005004AB"/>
    <w:rsid w:val="00500D53"/>
    <w:rsid w:val="005012E7"/>
    <w:rsid w:val="00501643"/>
    <w:rsid w:val="00501CC1"/>
    <w:rsid w:val="005024F1"/>
    <w:rsid w:val="00502CF3"/>
    <w:rsid w:val="0050317D"/>
    <w:rsid w:val="00503975"/>
    <w:rsid w:val="00504A76"/>
    <w:rsid w:val="00505B2A"/>
    <w:rsid w:val="005062EA"/>
    <w:rsid w:val="00507D11"/>
    <w:rsid w:val="00507EFB"/>
    <w:rsid w:val="00510043"/>
    <w:rsid w:val="005108B3"/>
    <w:rsid w:val="005115BD"/>
    <w:rsid w:val="005123DA"/>
    <w:rsid w:val="005123E7"/>
    <w:rsid w:val="00512484"/>
    <w:rsid w:val="00513325"/>
    <w:rsid w:val="005141DE"/>
    <w:rsid w:val="005144B4"/>
    <w:rsid w:val="00514B7B"/>
    <w:rsid w:val="0051562F"/>
    <w:rsid w:val="0051621F"/>
    <w:rsid w:val="00516D10"/>
    <w:rsid w:val="00517DB2"/>
    <w:rsid w:val="0052118E"/>
    <w:rsid w:val="00522439"/>
    <w:rsid w:val="005233E0"/>
    <w:rsid w:val="00523EA1"/>
    <w:rsid w:val="00524238"/>
    <w:rsid w:val="0052479E"/>
    <w:rsid w:val="0052493E"/>
    <w:rsid w:val="00525325"/>
    <w:rsid w:val="00527D08"/>
    <w:rsid w:val="00530A8E"/>
    <w:rsid w:val="00530D96"/>
    <w:rsid w:val="00530EE9"/>
    <w:rsid w:val="00531DA5"/>
    <w:rsid w:val="00531F9B"/>
    <w:rsid w:val="00532E79"/>
    <w:rsid w:val="00533D87"/>
    <w:rsid w:val="0053591E"/>
    <w:rsid w:val="005365BA"/>
    <w:rsid w:val="00537B55"/>
    <w:rsid w:val="005439B1"/>
    <w:rsid w:val="00544D25"/>
    <w:rsid w:val="00544E7B"/>
    <w:rsid w:val="00546F74"/>
    <w:rsid w:val="00550B0E"/>
    <w:rsid w:val="0055268B"/>
    <w:rsid w:val="005533A0"/>
    <w:rsid w:val="005535C4"/>
    <w:rsid w:val="00554CF4"/>
    <w:rsid w:val="00554EB4"/>
    <w:rsid w:val="005560AE"/>
    <w:rsid w:val="00556B28"/>
    <w:rsid w:val="00560D01"/>
    <w:rsid w:val="00564535"/>
    <w:rsid w:val="005659FF"/>
    <w:rsid w:val="00565F51"/>
    <w:rsid w:val="00565F85"/>
    <w:rsid w:val="005672BE"/>
    <w:rsid w:val="005703BC"/>
    <w:rsid w:val="00571739"/>
    <w:rsid w:val="0057198B"/>
    <w:rsid w:val="00571BD9"/>
    <w:rsid w:val="00571DAE"/>
    <w:rsid w:val="00574E3C"/>
    <w:rsid w:val="00575663"/>
    <w:rsid w:val="005765E6"/>
    <w:rsid w:val="00582F25"/>
    <w:rsid w:val="00582FCD"/>
    <w:rsid w:val="005857A8"/>
    <w:rsid w:val="005858A3"/>
    <w:rsid w:val="005858D2"/>
    <w:rsid w:val="00585A14"/>
    <w:rsid w:val="00586FF7"/>
    <w:rsid w:val="00587DDE"/>
    <w:rsid w:val="005908C4"/>
    <w:rsid w:val="00591818"/>
    <w:rsid w:val="005919B5"/>
    <w:rsid w:val="00591D78"/>
    <w:rsid w:val="0059287F"/>
    <w:rsid w:val="00592E4C"/>
    <w:rsid w:val="005973C5"/>
    <w:rsid w:val="00597735"/>
    <w:rsid w:val="005A25FC"/>
    <w:rsid w:val="005A44F0"/>
    <w:rsid w:val="005A4E08"/>
    <w:rsid w:val="005A4EE2"/>
    <w:rsid w:val="005A6364"/>
    <w:rsid w:val="005A73A8"/>
    <w:rsid w:val="005B0AAC"/>
    <w:rsid w:val="005B0B06"/>
    <w:rsid w:val="005B180A"/>
    <w:rsid w:val="005B1C26"/>
    <w:rsid w:val="005B1F4F"/>
    <w:rsid w:val="005B26F6"/>
    <w:rsid w:val="005B39F1"/>
    <w:rsid w:val="005B5C42"/>
    <w:rsid w:val="005B5E72"/>
    <w:rsid w:val="005B66F1"/>
    <w:rsid w:val="005B6FEE"/>
    <w:rsid w:val="005B7D71"/>
    <w:rsid w:val="005B7DD1"/>
    <w:rsid w:val="005C0964"/>
    <w:rsid w:val="005C1E5C"/>
    <w:rsid w:val="005C3155"/>
    <w:rsid w:val="005C3ABD"/>
    <w:rsid w:val="005C3D4B"/>
    <w:rsid w:val="005C462D"/>
    <w:rsid w:val="005C5AA3"/>
    <w:rsid w:val="005C7C73"/>
    <w:rsid w:val="005D2EA9"/>
    <w:rsid w:val="005D320B"/>
    <w:rsid w:val="005D407B"/>
    <w:rsid w:val="005D41E7"/>
    <w:rsid w:val="005D4792"/>
    <w:rsid w:val="005D4F2D"/>
    <w:rsid w:val="005D6586"/>
    <w:rsid w:val="005D6796"/>
    <w:rsid w:val="005D6E21"/>
    <w:rsid w:val="005D70A2"/>
    <w:rsid w:val="005D7E46"/>
    <w:rsid w:val="005E21D6"/>
    <w:rsid w:val="005E33FC"/>
    <w:rsid w:val="005E391C"/>
    <w:rsid w:val="005E39D4"/>
    <w:rsid w:val="005E40E1"/>
    <w:rsid w:val="005E4227"/>
    <w:rsid w:val="005E5793"/>
    <w:rsid w:val="005E5A95"/>
    <w:rsid w:val="005F05D0"/>
    <w:rsid w:val="005F11CC"/>
    <w:rsid w:val="005F1867"/>
    <w:rsid w:val="005F1A58"/>
    <w:rsid w:val="005F220A"/>
    <w:rsid w:val="005F301C"/>
    <w:rsid w:val="005F350E"/>
    <w:rsid w:val="005F51C5"/>
    <w:rsid w:val="005F5539"/>
    <w:rsid w:val="005F5C76"/>
    <w:rsid w:val="005F65BA"/>
    <w:rsid w:val="005F7467"/>
    <w:rsid w:val="00600872"/>
    <w:rsid w:val="00600DA3"/>
    <w:rsid w:val="00603052"/>
    <w:rsid w:val="006030B3"/>
    <w:rsid w:val="00603215"/>
    <w:rsid w:val="0060344C"/>
    <w:rsid w:val="0060399C"/>
    <w:rsid w:val="00605DE2"/>
    <w:rsid w:val="00606E16"/>
    <w:rsid w:val="00610AD2"/>
    <w:rsid w:val="00611ED8"/>
    <w:rsid w:val="0061212F"/>
    <w:rsid w:val="006122C1"/>
    <w:rsid w:val="006130F8"/>
    <w:rsid w:val="00613F9E"/>
    <w:rsid w:val="006161C2"/>
    <w:rsid w:val="00616BD8"/>
    <w:rsid w:val="00617234"/>
    <w:rsid w:val="0061776A"/>
    <w:rsid w:val="00620CDC"/>
    <w:rsid w:val="00621A24"/>
    <w:rsid w:val="00621F11"/>
    <w:rsid w:val="006220E0"/>
    <w:rsid w:val="00622E13"/>
    <w:rsid w:val="00625AF0"/>
    <w:rsid w:val="00627598"/>
    <w:rsid w:val="006301F4"/>
    <w:rsid w:val="006305CE"/>
    <w:rsid w:val="00631586"/>
    <w:rsid w:val="00631759"/>
    <w:rsid w:val="006351E6"/>
    <w:rsid w:val="00635836"/>
    <w:rsid w:val="00636E82"/>
    <w:rsid w:val="00637CB8"/>
    <w:rsid w:val="006405CE"/>
    <w:rsid w:val="0064170F"/>
    <w:rsid w:val="00641CF5"/>
    <w:rsid w:val="00641DE6"/>
    <w:rsid w:val="00641F84"/>
    <w:rsid w:val="006422AD"/>
    <w:rsid w:val="00646246"/>
    <w:rsid w:val="006471BA"/>
    <w:rsid w:val="00647383"/>
    <w:rsid w:val="00650B3F"/>
    <w:rsid w:val="00651172"/>
    <w:rsid w:val="00652098"/>
    <w:rsid w:val="00652636"/>
    <w:rsid w:val="0065343F"/>
    <w:rsid w:val="00653B23"/>
    <w:rsid w:val="0065480D"/>
    <w:rsid w:val="00654DF3"/>
    <w:rsid w:val="006553CD"/>
    <w:rsid w:val="006558BF"/>
    <w:rsid w:val="00655950"/>
    <w:rsid w:val="00657421"/>
    <w:rsid w:val="00661AE2"/>
    <w:rsid w:val="006623CA"/>
    <w:rsid w:val="006648AA"/>
    <w:rsid w:val="006655A7"/>
    <w:rsid w:val="0066591C"/>
    <w:rsid w:val="00665E2E"/>
    <w:rsid w:val="006670DB"/>
    <w:rsid w:val="00667E8A"/>
    <w:rsid w:val="00670598"/>
    <w:rsid w:val="00670E72"/>
    <w:rsid w:val="00672FA1"/>
    <w:rsid w:val="00676A67"/>
    <w:rsid w:val="00676A72"/>
    <w:rsid w:val="006819C0"/>
    <w:rsid w:val="00681F52"/>
    <w:rsid w:val="006825F6"/>
    <w:rsid w:val="00685975"/>
    <w:rsid w:val="00687AD8"/>
    <w:rsid w:val="00687CD8"/>
    <w:rsid w:val="00690587"/>
    <w:rsid w:val="006906C0"/>
    <w:rsid w:val="00690F92"/>
    <w:rsid w:val="00692BF7"/>
    <w:rsid w:val="00692E65"/>
    <w:rsid w:val="00693023"/>
    <w:rsid w:val="006934F3"/>
    <w:rsid w:val="00693601"/>
    <w:rsid w:val="006936A4"/>
    <w:rsid w:val="00694170"/>
    <w:rsid w:val="00694CA4"/>
    <w:rsid w:val="00695650"/>
    <w:rsid w:val="00696B66"/>
    <w:rsid w:val="00696B6B"/>
    <w:rsid w:val="00696C01"/>
    <w:rsid w:val="00696FD1"/>
    <w:rsid w:val="00697AC5"/>
    <w:rsid w:val="00697FD9"/>
    <w:rsid w:val="006A1336"/>
    <w:rsid w:val="006A194A"/>
    <w:rsid w:val="006A4C20"/>
    <w:rsid w:val="006A5183"/>
    <w:rsid w:val="006A5208"/>
    <w:rsid w:val="006A5A59"/>
    <w:rsid w:val="006A5B81"/>
    <w:rsid w:val="006A6A4B"/>
    <w:rsid w:val="006A6B10"/>
    <w:rsid w:val="006B1C22"/>
    <w:rsid w:val="006B1FE9"/>
    <w:rsid w:val="006B424A"/>
    <w:rsid w:val="006B44EF"/>
    <w:rsid w:val="006B4FF3"/>
    <w:rsid w:val="006B6601"/>
    <w:rsid w:val="006B7703"/>
    <w:rsid w:val="006C199C"/>
    <w:rsid w:val="006C1D74"/>
    <w:rsid w:val="006C22E4"/>
    <w:rsid w:val="006C3513"/>
    <w:rsid w:val="006C3FD6"/>
    <w:rsid w:val="006C44C3"/>
    <w:rsid w:val="006C56E8"/>
    <w:rsid w:val="006C6A11"/>
    <w:rsid w:val="006D0848"/>
    <w:rsid w:val="006D1A4E"/>
    <w:rsid w:val="006D3611"/>
    <w:rsid w:val="006D3BBA"/>
    <w:rsid w:val="006D3C88"/>
    <w:rsid w:val="006D4F1A"/>
    <w:rsid w:val="006E0708"/>
    <w:rsid w:val="006E0A3C"/>
    <w:rsid w:val="006E0AA3"/>
    <w:rsid w:val="006E2274"/>
    <w:rsid w:val="006E261E"/>
    <w:rsid w:val="006E4F2E"/>
    <w:rsid w:val="006E4FEC"/>
    <w:rsid w:val="006E5DE0"/>
    <w:rsid w:val="006E5EC3"/>
    <w:rsid w:val="006E6956"/>
    <w:rsid w:val="006F017E"/>
    <w:rsid w:val="006F102A"/>
    <w:rsid w:val="006F10DB"/>
    <w:rsid w:val="006F213F"/>
    <w:rsid w:val="006F3441"/>
    <w:rsid w:val="006F34D1"/>
    <w:rsid w:val="006F5B36"/>
    <w:rsid w:val="006F7EDF"/>
    <w:rsid w:val="007009FA"/>
    <w:rsid w:val="0070153D"/>
    <w:rsid w:val="00702F4C"/>
    <w:rsid w:val="00703D25"/>
    <w:rsid w:val="00704817"/>
    <w:rsid w:val="00704C95"/>
    <w:rsid w:val="00705BF3"/>
    <w:rsid w:val="00705D0E"/>
    <w:rsid w:val="00707752"/>
    <w:rsid w:val="007077B5"/>
    <w:rsid w:val="00710409"/>
    <w:rsid w:val="00711D15"/>
    <w:rsid w:val="00712181"/>
    <w:rsid w:val="00714235"/>
    <w:rsid w:val="007164B2"/>
    <w:rsid w:val="00716536"/>
    <w:rsid w:val="007165C2"/>
    <w:rsid w:val="00716944"/>
    <w:rsid w:val="00720746"/>
    <w:rsid w:val="00720DF3"/>
    <w:rsid w:val="00720E96"/>
    <w:rsid w:val="007215B2"/>
    <w:rsid w:val="007222C5"/>
    <w:rsid w:val="00722A38"/>
    <w:rsid w:val="007230A0"/>
    <w:rsid w:val="00723AFD"/>
    <w:rsid w:val="00725363"/>
    <w:rsid w:val="00726812"/>
    <w:rsid w:val="00726CF2"/>
    <w:rsid w:val="0072770D"/>
    <w:rsid w:val="00730016"/>
    <w:rsid w:val="00731B3E"/>
    <w:rsid w:val="00732A2E"/>
    <w:rsid w:val="00733C24"/>
    <w:rsid w:val="00735E13"/>
    <w:rsid w:val="0073607A"/>
    <w:rsid w:val="007363C2"/>
    <w:rsid w:val="0073705A"/>
    <w:rsid w:val="00737109"/>
    <w:rsid w:val="00737C61"/>
    <w:rsid w:val="00737CB5"/>
    <w:rsid w:val="00737D29"/>
    <w:rsid w:val="007409B0"/>
    <w:rsid w:val="00740F90"/>
    <w:rsid w:val="00741DF8"/>
    <w:rsid w:val="0074480A"/>
    <w:rsid w:val="00745A27"/>
    <w:rsid w:val="00750109"/>
    <w:rsid w:val="007501B7"/>
    <w:rsid w:val="00752515"/>
    <w:rsid w:val="007546D4"/>
    <w:rsid w:val="00755CAE"/>
    <w:rsid w:val="00755E8C"/>
    <w:rsid w:val="007574AC"/>
    <w:rsid w:val="00757911"/>
    <w:rsid w:val="00757EB2"/>
    <w:rsid w:val="00761C9E"/>
    <w:rsid w:val="0076353A"/>
    <w:rsid w:val="00763E84"/>
    <w:rsid w:val="00764DA8"/>
    <w:rsid w:val="007658BE"/>
    <w:rsid w:val="00766794"/>
    <w:rsid w:val="007667C5"/>
    <w:rsid w:val="00766827"/>
    <w:rsid w:val="007675AA"/>
    <w:rsid w:val="00770090"/>
    <w:rsid w:val="00770540"/>
    <w:rsid w:val="00772B20"/>
    <w:rsid w:val="0077581D"/>
    <w:rsid w:val="0077616B"/>
    <w:rsid w:val="0077718A"/>
    <w:rsid w:val="00780C5E"/>
    <w:rsid w:val="00780DC9"/>
    <w:rsid w:val="00781590"/>
    <w:rsid w:val="007820F3"/>
    <w:rsid w:val="007830BA"/>
    <w:rsid w:val="0078383B"/>
    <w:rsid w:val="00785680"/>
    <w:rsid w:val="00785FF4"/>
    <w:rsid w:val="0078666C"/>
    <w:rsid w:val="007876BA"/>
    <w:rsid w:val="0079012A"/>
    <w:rsid w:val="00790AC2"/>
    <w:rsid w:val="00791A19"/>
    <w:rsid w:val="00792DA3"/>
    <w:rsid w:val="0079383E"/>
    <w:rsid w:val="00793B73"/>
    <w:rsid w:val="0079427D"/>
    <w:rsid w:val="00797051"/>
    <w:rsid w:val="007A0042"/>
    <w:rsid w:val="007A0203"/>
    <w:rsid w:val="007A222B"/>
    <w:rsid w:val="007A23FA"/>
    <w:rsid w:val="007A27C9"/>
    <w:rsid w:val="007A3660"/>
    <w:rsid w:val="007A4216"/>
    <w:rsid w:val="007A42E0"/>
    <w:rsid w:val="007A5316"/>
    <w:rsid w:val="007A53B9"/>
    <w:rsid w:val="007A5963"/>
    <w:rsid w:val="007A6307"/>
    <w:rsid w:val="007A64F5"/>
    <w:rsid w:val="007A6C68"/>
    <w:rsid w:val="007A71C9"/>
    <w:rsid w:val="007A7D69"/>
    <w:rsid w:val="007B00AB"/>
    <w:rsid w:val="007B19B9"/>
    <w:rsid w:val="007B2167"/>
    <w:rsid w:val="007B26AF"/>
    <w:rsid w:val="007B285E"/>
    <w:rsid w:val="007B4D87"/>
    <w:rsid w:val="007B5D03"/>
    <w:rsid w:val="007B7413"/>
    <w:rsid w:val="007C00BA"/>
    <w:rsid w:val="007C09D4"/>
    <w:rsid w:val="007C0D0A"/>
    <w:rsid w:val="007C12A1"/>
    <w:rsid w:val="007C286F"/>
    <w:rsid w:val="007C4248"/>
    <w:rsid w:val="007C51E6"/>
    <w:rsid w:val="007C52E3"/>
    <w:rsid w:val="007C5A08"/>
    <w:rsid w:val="007C5A7C"/>
    <w:rsid w:val="007C5C5F"/>
    <w:rsid w:val="007C5CEE"/>
    <w:rsid w:val="007C6221"/>
    <w:rsid w:val="007C68A0"/>
    <w:rsid w:val="007C6CC8"/>
    <w:rsid w:val="007C6F2C"/>
    <w:rsid w:val="007D13EB"/>
    <w:rsid w:val="007D2A78"/>
    <w:rsid w:val="007D2CB1"/>
    <w:rsid w:val="007D2F13"/>
    <w:rsid w:val="007D3956"/>
    <w:rsid w:val="007D3DC9"/>
    <w:rsid w:val="007D46AF"/>
    <w:rsid w:val="007D5C11"/>
    <w:rsid w:val="007D6A15"/>
    <w:rsid w:val="007D740D"/>
    <w:rsid w:val="007D7741"/>
    <w:rsid w:val="007E13B7"/>
    <w:rsid w:val="007E1C34"/>
    <w:rsid w:val="007E1D8A"/>
    <w:rsid w:val="007E40BC"/>
    <w:rsid w:val="007E65EB"/>
    <w:rsid w:val="007F05C7"/>
    <w:rsid w:val="007F2221"/>
    <w:rsid w:val="007F265F"/>
    <w:rsid w:val="007F3FEE"/>
    <w:rsid w:val="007F4042"/>
    <w:rsid w:val="007F415C"/>
    <w:rsid w:val="007F5F36"/>
    <w:rsid w:val="007F6D71"/>
    <w:rsid w:val="007F70C5"/>
    <w:rsid w:val="007F73B8"/>
    <w:rsid w:val="007F7DA6"/>
    <w:rsid w:val="007F7E1C"/>
    <w:rsid w:val="0080085C"/>
    <w:rsid w:val="00801291"/>
    <w:rsid w:val="0080213C"/>
    <w:rsid w:val="00802F6F"/>
    <w:rsid w:val="00803AF9"/>
    <w:rsid w:val="0080522F"/>
    <w:rsid w:val="00805373"/>
    <w:rsid w:val="00806040"/>
    <w:rsid w:val="00806C34"/>
    <w:rsid w:val="008102A8"/>
    <w:rsid w:val="008122FC"/>
    <w:rsid w:val="00812D22"/>
    <w:rsid w:val="0081300E"/>
    <w:rsid w:val="0081380F"/>
    <w:rsid w:val="008162CF"/>
    <w:rsid w:val="008209F5"/>
    <w:rsid w:val="00820D4F"/>
    <w:rsid w:val="008215FB"/>
    <w:rsid w:val="008229B4"/>
    <w:rsid w:val="00822D59"/>
    <w:rsid w:val="00822F16"/>
    <w:rsid w:val="008231C8"/>
    <w:rsid w:val="00824537"/>
    <w:rsid w:val="00824C97"/>
    <w:rsid w:val="00825458"/>
    <w:rsid w:val="00825540"/>
    <w:rsid w:val="00825647"/>
    <w:rsid w:val="008265E9"/>
    <w:rsid w:val="0082716D"/>
    <w:rsid w:val="00831D8A"/>
    <w:rsid w:val="00832E51"/>
    <w:rsid w:val="00833B20"/>
    <w:rsid w:val="00834560"/>
    <w:rsid w:val="008359D5"/>
    <w:rsid w:val="00836C33"/>
    <w:rsid w:val="0084032C"/>
    <w:rsid w:val="0084079E"/>
    <w:rsid w:val="00840A06"/>
    <w:rsid w:val="00840F15"/>
    <w:rsid w:val="00842322"/>
    <w:rsid w:val="00842D66"/>
    <w:rsid w:val="00842E9E"/>
    <w:rsid w:val="00842F3C"/>
    <w:rsid w:val="00843654"/>
    <w:rsid w:val="0084385D"/>
    <w:rsid w:val="00843E0E"/>
    <w:rsid w:val="00845ED0"/>
    <w:rsid w:val="00847767"/>
    <w:rsid w:val="0085060C"/>
    <w:rsid w:val="00850966"/>
    <w:rsid w:val="00850F57"/>
    <w:rsid w:val="008510E5"/>
    <w:rsid w:val="00852934"/>
    <w:rsid w:val="00854585"/>
    <w:rsid w:val="00854D92"/>
    <w:rsid w:val="00855B49"/>
    <w:rsid w:val="008609C0"/>
    <w:rsid w:val="008610AE"/>
    <w:rsid w:val="008615B9"/>
    <w:rsid w:val="008616D4"/>
    <w:rsid w:val="008628A4"/>
    <w:rsid w:val="008635CA"/>
    <w:rsid w:val="00863A17"/>
    <w:rsid w:val="00865A1B"/>
    <w:rsid w:val="00873333"/>
    <w:rsid w:val="008739B9"/>
    <w:rsid w:val="008740A2"/>
    <w:rsid w:val="00874326"/>
    <w:rsid w:val="008747C0"/>
    <w:rsid w:val="00875A66"/>
    <w:rsid w:val="00876CA6"/>
    <w:rsid w:val="0087772D"/>
    <w:rsid w:val="00877C01"/>
    <w:rsid w:val="008804EB"/>
    <w:rsid w:val="0088067F"/>
    <w:rsid w:val="00880F83"/>
    <w:rsid w:val="00881D2C"/>
    <w:rsid w:val="00882715"/>
    <w:rsid w:val="00882F19"/>
    <w:rsid w:val="00884DB7"/>
    <w:rsid w:val="00885219"/>
    <w:rsid w:val="0088621E"/>
    <w:rsid w:val="00887E62"/>
    <w:rsid w:val="00891A2F"/>
    <w:rsid w:val="00892659"/>
    <w:rsid w:val="00893BFD"/>
    <w:rsid w:val="00894131"/>
    <w:rsid w:val="008941CA"/>
    <w:rsid w:val="00895083"/>
    <w:rsid w:val="00895189"/>
    <w:rsid w:val="008955C2"/>
    <w:rsid w:val="00895E33"/>
    <w:rsid w:val="00897D66"/>
    <w:rsid w:val="00897F90"/>
    <w:rsid w:val="008A01E7"/>
    <w:rsid w:val="008A22DB"/>
    <w:rsid w:val="008A270F"/>
    <w:rsid w:val="008A4056"/>
    <w:rsid w:val="008A40A1"/>
    <w:rsid w:val="008A7848"/>
    <w:rsid w:val="008B1011"/>
    <w:rsid w:val="008B104F"/>
    <w:rsid w:val="008B141E"/>
    <w:rsid w:val="008B229A"/>
    <w:rsid w:val="008B243C"/>
    <w:rsid w:val="008B2BB6"/>
    <w:rsid w:val="008B56AC"/>
    <w:rsid w:val="008B6992"/>
    <w:rsid w:val="008B6B8C"/>
    <w:rsid w:val="008C08C8"/>
    <w:rsid w:val="008C0CBD"/>
    <w:rsid w:val="008C19CF"/>
    <w:rsid w:val="008C3123"/>
    <w:rsid w:val="008C3BF7"/>
    <w:rsid w:val="008C4958"/>
    <w:rsid w:val="008C4BD3"/>
    <w:rsid w:val="008C4D5B"/>
    <w:rsid w:val="008D5BE9"/>
    <w:rsid w:val="008D5D44"/>
    <w:rsid w:val="008D6F53"/>
    <w:rsid w:val="008D73AA"/>
    <w:rsid w:val="008E0147"/>
    <w:rsid w:val="008E2E97"/>
    <w:rsid w:val="008E47B8"/>
    <w:rsid w:val="008E4BAE"/>
    <w:rsid w:val="008E5A12"/>
    <w:rsid w:val="008E63A0"/>
    <w:rsid w:val="008E6B10"/>
    <w:rsid w:val="008E7490"/>
    <w:rsid w:val="008F1D53"/>
    <w:rsid w:val="0090156C"/>
    <w:rsid w:val="00901BC8"/>
    <w:rsid w:val="00901D78"/>
    <w:rsid w:val="0090395B"/>
    <w:rsid w:val="00904207"/>
    <w:rsid w:val="00906081"/>
    <w:rsid w:val="00906BD9"/>
    <w:rsid w:val="00910EEF"/>
    <w:rsid w:val="0091196E"/>
    <w:rsid w:val="00911F87"/>
    <w:rsid w:val="00912903"/>
    <w:rsid w:val="0091332B"/>
    <w:rsid w:val="009155D2"/>
    <w:rsid w:val="00916669"/>
    <w:rsid w:val="00917BCE"/>
    <w:rsid w:val="00917D9B"/>
    <w:rsid w:val="00920FAC"/>
    <w:rsid w:val="009213D9"/>
    <w:rsid w:val="00922395"/>
    <w:rsid w:val="009224D2"/>
    <w:rsid w:val="009226EC"/>
    <w:rsid w:val="00925CCF"/>
    <w:rsid w:val="00925FDA"/>
    <w:rsid w:val="0092640C"/>
    <w:rsid w:val="0092650C"/>
    <w:rsid w:val="00926918"/>
    <w:rsid w:val="009275E7"/>
    <w:rsid w:val="00927843"/>
    <w:rsid w:val="00932DF0"/>
    <w:rsid w:val="00932EB9"/>
    <w:rsid w:val="009331AE"/>
    <w:rsid w:val="009332B3"/>
    <w:rsid w:val="009342C5"/>
    <w:rsid w:val="00937324"/>
    <w:rsid w:val="00937BA0"/>
    <w:rsid w:val="009417C6"/>
    <w:rsid w:val="0094229C"/>
    <w:rsid w:val="009422A0"/>
    <w:rsid w:val="009427FB"/>
    <w:rsid w:val="009432BC"/>
    <w:rsid w:val="009441FF"/>
    <w:rsid w:val="00944268"/>
    <w:rsid w:val="00944E81"/>
    <w:rsid w:val="009452AD"/>
    <w:rsid w:val="00947DC4"/>
    <w:rsid w:val="0095025E"/>
    <w:rsid w:val="009515A7"/>
    <w:rsid w:val="00951C85"/>
    <w:rsid w:val="00951CCA"/>
    <w:rsid w:val="00952453"/>
    <w:rsid w:val="00952A23"/>
    <w:rsid w:val="00953AF9"/>
    <w:rsid w:val="0095446E"/>
    <w:rsid w:val="009545BC"/>
    <w:rsid w:val="0095483B"/>
    <w:rsid w:val="00954E6A"/>
    <w:rsid w:val="00954F64"/>
    <w:rsid w:val="00956473"/>
    <w:rsid w:val="0095708B"/>
    <w:rsid w:val="009571A2"/>
    <w:rsid w:val="00957924"/>
    <w:rsid w:val="00960580"/>
    <w:rsid w:val="0096466E"/>
    <w:rsid w:val="009656D2"/>
    <w:rsid w:val="00965D24"/>
    <w:rsid w:val="00965EB5"/>
    <w:rsid w:val="009705D1"/>
    <w:rsid w:val="00970C19"/>
    <w:rsid w:val="00970C3B"/>
    <w:rsid w:val="00971559"/>
    <w:rsid w:val="0097196A"/>
    <w:rsid w:val="00971DA3"/>
    <w:rsid w:val="0097274B"/>
    <w:rsid w:val="009733E7"/>
    <w:rsid w:val="00975D8C"/>
    <w:rsid w:val="0097708F"/>
    <w:rsid w:val="009770E1"/>
    <w:rsid w:val="00977A75"/>
    <w:rsid w:val="0098067C"/>
    <w:rsid w:val="0098088E"/>
    <w:rsid w:val="00980BFA"/>
    <w:rsid w:val="00980C16"/>
    <w:rsid w:val="009832F6"/>
    <w:rsid w:val="00984427"/>
    <w:rsid w:val="00984923"/>
    <w:rsid w:val="00985047"/>
    <w:rsid w:val="00985B4D"/>
    <w:rsid w:val="009873B8"/>
    <w:rsid w:val="009874B0"/>
    <w:rsid w:val="00990B12"/>
    <w:rsid w:val="00990EBB"/>
    <w:rsid w:val="009920AC"/>
    <w:rsid w:val="00992D48"/>
    <w:rsid w:val="00992E37"/>
    <w:rsid w:val="0099331F"/>
    <w:rsid w:val="00994D3C"/>
    <w:rsid w:val="00997464"/>
    <w:rsid w:val="009A196E"/>
    <w:rsid w:val="009A2C6F"/>
    <w:rsid w:val="009A44C2"/>
    <w:rsid w:val="009A4E41"/>
    <w:rsid w:val="009B0DD2"/>
    <w:rsid w:val="009B3162"/>
    <w:rsid w:val="009B3533"/>
    <w:rsid w:val="009B562B"/>
    <w:rsid w:val="009B78D0"/>
    <w:rsid w:val="009B7C69"/>
    <w:rsid w:val="009C178F"/>
    <w:rsid w:val="009C17F8"/>
    <w:rsid w:val="009C2650"/>
    <w:rsid w:val="009C2CD7"/>
    <w:rsid w:val="009C4B77"/>
    <w:rsid w:val="009C5062"/>
    <w:rsid w:val="009C61A1"/>
    <w:rsid w:val="009C6AB5"/>
    <w:rsid w:val="009D134D"/>
    <w:rsid w:val="009D2A10"/>
    <w:rsid w:val="009D2B18"/>
    <w:rsid w:val="009D30C3"/>
    <w:rsid w:val="009D331D"/>
    <w:rsid w:val="009D37C7"/>
    <w:rsid w:val="009D3DC9"/>
    <w:rsid w:val="009D4676"/>
    <w:rsid w:val="009D54FB"/>
    <w:rsid w:val="009D649A"/>
    <w:rsid w:val="009D6E37"/>
    <w:rsid w:val="009D785B"/>
    <w:rsid w:val="009E0247"/>
    <w:rsid w:val="009E10D4"/>
    <w:rsid w:val="009E1C75"/>
    <w:rsid w:val="009E2722"/>
    <w:rsid w:val="009E4384"/>
    <w:rsid w:val="009E46E3"/>
    <w:rsid w:val="009E5BCA"/>
    <w:rsid w:val="009E7EB9"/>
    <w:rsid w:val="009F03F0"/>
    <w:rsid w:val="009F0BD2"/>
    <w:rsid w:val="009F153C"/>
    <w:rsid w:val="009F19E6"/>
    <w:rsid w:val="009F3186"/>
    <w:rsid w:val="009F35CA"/>
    <w:rsid w:val="009F476C"/>
    <w:rsid w:val="009F5367"/>
    <w:rsid w:val="009F7775"/>
    <w:rsid w:val="009F7ABF"/>
    <w:rsid w:val="00A01468"/>
    <w:rsid w:val="00A01915"/>
    <w:rsid w:val="00A01F50"/>
    <w:rsid w:val="00A037A2"/>
    <w:rsid w:val="00A03B36"/>
    <w:rsid w:val="00A04ECE"/>
    <w:rsid w:val="00A0535C"/>
    <w:rsid w:val="00A059A2"/>
    <w:rsid w:val="00A06B47"/>
    <w:rsid w:val="00A06B72"/>
    <w:rsid w:val="00A12ACC"/>
    <w:rsid w:val="00A12C8A"/>
    <w:rsid w:val="00A1390A"/>
    <w:rsid w:val="00A14335"/>
    <w:rsid w:val="00A156F3"/>
    <w:rsid w:val="00A15FE1"/>
    <w:rsid w:val="00A1629F"/>
    <w:rsid w:val="00A16319"/>
    <w:rsid w:val="00A16CD5"/>
    <w:rsid w:val="00A20682"/>
    <w:rsid w:val="00A20DC3"/>
    <w:rsid w:val="00A20F14"/>
    <w:rsid w:val="00A21114"/>
    <w:rsid w:val="00A212DD"/>
    <w:rsid w:val="00A220D3"/>
    <w:rsid w:val="00A2234B"/>
    <w:rsid w:val="00A223F2"/>
    <w:rsid w:val="00A22B1A"/>
    <w:rsid w:val="00A2335C"/>
    <w:rsid w:val="00A253C7"/>
    <w:rsid w:val="00A25EBC"/>
    <w:rsid w:val="00A26443"/>
    <w:rsid w:val="00A2687A"/>
    <w:rsid w:val="00A269C8"/>
    <w:rsid w:val="00A321DA"/>
    <w:rsid w:val="00A32418"/>
    <w:rsid w:val="00A326F1"/>
    <w:rsid w:val="00A3524C"/>
    <w:rsid w:val="00A40BA0"/>
    <w:rsid w:val="00A40CD5"/>
    <w:rsid w:val="00A41A5D"/>
    <w:rsid w:val="00A41CBA"/>
    <w:rsid w:val="00A42C8E"/>
    <w:rsid w:val="00A43021"/>
    <w:rsid w:val="00A43072"/>
    <w:rsid w:val="00A437F8"/>
    <w:rsid w:val="00A43ECF"/>
    <w:rsid w:val="00A441AC"/>
    <w:rsid w:val="00A4459F"/>
    <w:rsid w:val="00A44D7A"/>
    <w:rsid w:val="00A44FC3"/>
    <w:rsid w:val="00A46D4D"/>
    <w:rsid w:val="00A47B5A"/>
    <w:rsid w:val="00A47C77"/>
    <w:rsid w:val="00A504A3"/>
    <w:rsid w:val="00A520B2"/>
    <w:rsid w:val="00A52C44"/>
    <w:rsid w:val="00A5386D"/>
    <w:rsid w:val="00A54E3A"/>
    <w:rsid w:val="00A55C14"/>
    <w:rsid w:val="00A56C96"/>
    <w:rsid w:val="00A57BD6"/>
    <w:rsid w:val="00A60551"/>
    <w:rsid w:val="00A607F6"/>
    <w:rsid w:val="00A633E8"/>
    <w:rsid w:val="00A63D5C"/>
    <w:rsid w:val="00A64126"/>
    <w:rsid w:val="00A64B93"/>
    <w:rsid w:val="00A64BCE"/>
    <w:rsid w:val="00A64E53"/>
    <w:rsid w:val="00A651DF"/>
    <w:rsid w:val="00A665AF"/>
    <w:rsid w:val="00A66AE6"/>
    <w:rsid w:val="00A6755B"/>
    <w:rsid w:val="00A70251"/>
    <w:rsid w:val="00A705CE"/>
    <w:rsid w:val="00A707D4"/>
    <w:rsid w:val="00A73054"/>
    <w:rsid w:val="00A73A25"/>
    <w:rsid w:val="00A74706"/>
    <w:rsid w:val="00A75315"/>
    <w:rsid w:val="00A76675"/>
    <w:rsid w:val="00A76F30"/>
    <w:rsid w:val="00A80529"/>
    <w:rsid w:val="00A8134D"/>
    <w:rsid w:val="00A8198D"/>
    <w:rsid w:val="00A83C34"/>
    <w:rsid w:val="00A8461B"/>
    <w:rsid w:val="00A84D3C"/>
    <w:rsid w:val="00A84E01"/>
    <w:rsid w:val="00A859DC"/>
    <w:rsid w:val="00A85E54"/>
    <w:rsid w:val="00A85E97"/>
    <w:rsid w:val="00A860B2"/>
    <w:rsid w:val="00A8737F"/>
    <w:rsid w:val="00A90F5E"/>
    <w:rsid w:val="00A9200A"/>
    <w:rsid w:val="00A923F3"/>
    <w:rsid w:val="00A935D6"/>
    <w:rsid w:val="00A93718"/>
    <w:rsid w:val="00A948F8"/>
    <w:rsid w:val="00A950A2"/>
    <w:rsid w:val="00A955EB"/>
    <w:rsid w:val="00A96843"/>
    <w:rsid w:val="00A9709C"/>
    <w:rsid w:val="00AA17FA"/>
    <w:rsid w:val="00AA3842"/>
    <w:rsid w:val="00AA40CD"/>
    <w:rsid w:val="00AA490B"/>
    <w:rsid w:val="00AA6C9B"/>
    <w:rsid w:val="00AA7535"/>
    <w:rsid w:val="00AA772F"/>
    <w:rsid w:val="00AB07CE"/>
    <w:rsid w:val="00AB11D1"/>
    <w:rsid w:val="00AB2281"/>
    <w:rsid w:val="00AB3F9D"/>
    <w:rsid w:val="00AB4484"/>
    <w:rsid w:val="00AB602D"/>
    <w:rsid w:val="00AB6630"/>
    <w:rsid w:val="00AB6880"/>
    <w:rsid w:val="00AB704A"/>
    <w:rsid w:val="00AB7B9A"/>
    <w:rsid w:val="00AC09FC"/>
    <w:rsid w:val="00AC0E7E"/>
    <w:rsid w:val="00AC2774"/>
    <w:rsid w:val="00AC4ACE"/>
    <w:rsid w:val="00AC755E"/>
    <w:rsid w:val="00AD11DB"/>
    <w:rsid w:val="00AD1E6D"/>
    <w:rsid w:val="00AD2DCA"/>
    <w:rsid w:val="00AD3396"/>
    <w:rsid w:val="00AD3E2E"/>
    <w:rsid w:val="00AD40D8"/>
    <w:rsid w:val="00AD438F"/>
    <w:rsid w:val="00AD6021"/>
    <w:rsid w:val="00AE06AF"/>
    <w:rsid w:val="00AE1F7F"/>
    <w:rsid w:val="00AE2456"/>
    <w:rsid w:val="00AE2E7E"/>
    <w:rsid w:val="00AE2E86"/>
    <w:rsid w:val="00AE2EC7"/>
    <w:rsid w:val="00AE3244"/>
    <w:rsid w:val="00AE3481"/>
    <w:rsid w:val="00AE3A16"/>
    <w:rsid w:val="00AE4BEE"/>
    <w:rsid w:val="00AE567D"/>
    <w:rsid w:val="00AE5B6E"/>
    <w:rsid w:val="00AE5D1D"/>
    <w:rsid w:val="00AE67B8"/>
    <w:rsid w:val="00AE7881"/>
    <w:rsid w:val="00AF0B1B"/>
    <w:rsid w:val="00AF0DA0"/>
    <w:rsid w:val="00AF0E86"/>
    <w:rsid w:val="00AF1E87"/>
    <w:rsid w:val="00AF2386"/>
    <w:rsid w:val="00AF2B2F"/>
    <w:rsid w:val="00AF62A8"/>
    <w:rsid w:val="00AF6A35"/>
    <w:rsid w:val="00AF7396"/>
    <w:rsid w:val="00B0000C"/>
    <w:rsid w:val="00B009B5"/>
    <w:rsid w:val="00B01670"/>
    <w:rsid w:val="00B018E3"/>
    <w:rsid w:val="00B02A05"/>
    <w:rsid w:val="00B02B13"/>
    <w:rsid w:val="00B03EA9"/>
    <w:rsid w:val="00B0485B"/>
    <w:rsid w:val="00B04F23"/>
    <w:rsid w:val="00B05CE5"/>
    <w:rsid w:val="00B0637D"/>
    <w:rsid w:val="00B07E64"/>
    <w:rsid w:val="00B127A2"/>
    <w:rsid w:val="00B14564"/>
    <w:rsid w:val="00B14586"/>
    <w:rsid w:val="00B146B9"/>
    <w:rsid w:val="00B15880"/>
    <w:rsid w:val="00B15E8B"/>
    <w:rsid w:val="00B16DB6"/>
    <w:rsid w:val="00B17B7A"/>
    <w:rsid w:val="00B201E6"/>
    <w:rsid w:val="00B22AFB"/>
    <w:rsid w:val="00B230FD"/>
    <w:rsid w:val="00B23579"/>
    <w:rsid w:val="00B25B30"/>
    <w:rsid w:val="00B30248"/>
    <w:rsid w:val="00B31821"/>
    <w:rsid w:val="00B32637"/>
    <w:rsid w:val="00B33CEA"/>
    <w:rsid w:val="00B347CA"/>
    <w:rsid w:val="00B34BF3"/>
    <w:rsid w:val="00B34D36"/>
    <w:rsid w:val="00B35179"/>
    <w:rsid w:val="00B353A9"/>
    <w:rsid w:val="00B35B84"/>
    <w:rsid w:val="00B36009"/>
    <w:rsid w:val="00B37824"/>
    <w:rsid w:val="00B422CC"/>
    <w:rsid w:val="00B42316"/>
    <w:rsid w:val="00B42C15"/>
    <w:rsid w:val="00B44582"/>
    <w:rsid w:val="00B44CD0"/>
    <w:rsid w:val="00B452B4"/>
    <w:rsid w:val="00B457D2"/>
    <w:rsid w:val="00B45EFD"/>
    <w:rsid w:val="00B46B16"/>
    <w:rsid w:val="00B47275"/>
    <w:rsid w:val="00B5096E"/>
    <w:rsid w:val="00B51771"/>
    <w:rsid w:val="00B51FDE"/>
    <w:rsid w:val="00B52833"/>
    <w:rsid w:val="00B53639"/>
    <w:rsid w:val="00B54EF2"/>
    <w:rsid w:val="00B555B9"/>
    <w:rsid w:val="00B55F7B"/>
    <w:rsid w:val="00B55FA5"/>
    <w:rsid w:val="00B57B3C"/>
    <w:rsid w:val="00B601DF"/>
    <w:rsid w:val="00B60B6C"/>
    <w:rsid w:val="00B613F9"/>
    <w:rsid w:val="00B61570"/>
    <w:rsid w:val="00B61E60"/>
    <w:rsid w:val="00B61FF5"/>
    <w:rsid w:val="00B62D11"/>
    <w:rsid w:val="00B6436F"/>
    <w:rsid w:val="00B66B91"/>
    <w:rsid w:val="00B6722B"/>
    <w:rsid w:val="00B6730E"/>
    <w:rsid w:val="00B67EEC"/>
    <w:rsid w:val="00B72A83"/>
    <w:rsid w:val="00B7354D"/>
    <w:rsid w:val="00B73A56"/>
    <w:rsid w:val="00B74247"/>
    <w:rsid w:val="00B759CB"/>
    <w:rsid w:val="00B76F84"/>
    <w:rsid w:val="00B80663"/>
    <w:rsid w:val="00B80D1B"/>
    <w:rsid w:val="00B813A5"/>
    <w:rsid w:val="00B81E9B"/>
    <w:rsid w:val="00B83513"/>
    <w:rsid w:val="00B83876"/>
    <w:rsid w:val="00B83A70"/>
    <w:rsid w:val="00B83D39"/>
    <w:rsid w:val="00B846C4"/>
    <w:rsid w:val="00B848E9"/>
    <w:rsid w:val="00B84C8D"/>
    <w:rsid w:val="00B875C5"/>
    <w:rsid w:val="00B87949"/>
    <w:rsid w:val="00B901EE"/>
    <w:rsid w:val="00B919F7"/>
    <w:rsid w:val="00B91FBC"/>
    <w:rsid w:val="00B92433"/>
    <w:rsid w:val="00B92F2C"/>
    <w:rsid w:val="00B94CFF"/>
    <w:rsid w:val="00B94D1E"/>
    <w:rsid w:val="00B94E7F"/>
    <w:rsid w:val="00B953EE"/>
    <w:rsid w:val="00B9660E"/>
    <w:rsid w:val="00B96678"/>
    <w:rsid w:val="00BA0B1C"/>
    <w:rsid w:val="00BA102F"/>
    <w:rsid w:val="00BA1F8C"/>
    <w:rsid w:val="00BA2A74"/>
    <w:rsid w:val="00BA3F3C"/>
    <w:rsid w:val="00BA5034"/>
    <w:rsid w:val="00BB0091"/>
    <w:rsid w:val="00BB4DA5"/>
    <w:rsid w:val="00BB5D50"/>
    <w:rsid w:val="00BB6CEA"/>
    <w:rsid w:val="00BB73EE"/>
    <w:rsid w:val="00BB77FE"/>
    <w:rsid w:val="00BC1E4E"/>
    <w:rsid w:val="00BC25FA"/>
    <w:rsid w:val="00BC3117"/>
    <w:rsid w:val="00BC321B"/>
    <w:rsid w:val="00BC3944"/>
    <w:rsid w:val="00BC4711"/>
    <w:rsid w:val="00BC4B16"/>
    <w:rsid w:val="00BC4B66"/>
    <w:rsid w:val="00BC5938"/>
    <w:rsid w:val="00BC6278"/>
    <w:rsid w:val="00BD1A5F"/>
    <w:rsid w:val="00BD204C"/>
    <w:rsid w:val="00BD29EC"/>
    <w:rsid w:val="00BD2BC1"/>
    <w:rsid w:val="00BD2EBE"/>
    <w:rsid w:val="00BD3F53"/>
    <w:rsid w:val="00BD7217"/>
    <w:rsid w:val="00BD78D7"/>
    <w:rsid w:val="00BE0271"/>
    <w:rsid w:val="00BE0535"/>
    <w:rsid w:val="00BE1AAD"/>
    <w:rsid w:val="00BE3675"/>
    <w:rsid w:val="00BE39EF"/>
    <w:rsid w:val="00BE3C30"/>
    <w:rsid w:val="00BE6B1F"/>
    <w:rsid w:val="00BE7237"/>
    <w:rsid w:val="00BF1713"/>
    <w:rsid w:val="00BF1DF2"/>
    <w:rsid w:val="00BF2232"/>
    <w:rsid w:val="00BF2911"/>
    <w:rsid w:val="00BF3DAB"/>
    <w:rsid w:val="00BF3F62"/>
    <w:rsid w:val="00BF4C82"/>
    <w:rsid w:val="00BF4DBB"/>
    <w:rsid w:val="00BF5981"/>
    <w:rsid w:val="00BF5C01"/>
    <w:rsid w:val="00BF5F02"/>
    <w:rsid w:val="00BF5FA2"/>
    <w:rsid w:val="00BF602E"/>
    <w:rsid w:val="00BF77F7"/>
    <w:rsid w:val="00BF7D97"/>
    <w:rsid w:val="00C007DC"/>
    <w:rsid w:val="00C012F6"/>
    <w:rsid w:val="00C015B8"/>
    <w:rsid w:val="00C017B5"/>
    <w:rsid w:val="00C036DA"/>
    <w:rsid w:val="00C039D4"/>
    <w:rsid w:val="00C03CBF"/>
    <w:rsid w:val="00C05896"/>
    <w:rsid w:val="00C060AB"/>
    <w:rsid w:val="00C07B5A"/>
    <w:rsid w:val="00C07CD1"/>
    <w:rsid w:val="00C104D9"/>
    <w:rsid w:val="00C13245"/>
    <w:rsid w:val="00C14189"/>
    <w:rsid w:val="00C143F0"/>
    <w:rsid w:val="00C16DE0"/>
    <w:rsid w:val="00C21508"/>
    <w:rsid w:val="00C22869"/>
    <w:rsid w:val="00C2295E"/>
    <w:rsid w:val="00C22CC1"/>
    <w:rsid w:val="00C24238"/>
    <w:rsid w:val="00C247E1"/>
    <w:rsid w:val="00C26BD2"/>
    <w:rsid w:val="00C30493"/>
    <w:rsid w:val="00C30B84"/>
    <w:rsid w:val="00C32344"/>
    <w:rsid w:val="00C324FB"/>
    <w:rsid w:val="00C3358A"/>
    <w:rsid w:val="00C371E8"/>
    <w:rsid w:val="00C4020D"/>
    <w:rsid w:val="00C4099C"/>
    <w:rsid w:val="00C41988"/>
    <w:rsid w:val="00C41CDA"/>
    <w:rsid w:val="00C42DEC"/>
    <w:rsid w:val="00C430D9"/>
    <w:rsid w:val="00C44384"/>
    <w:rsid w:val="00C44899"/>
    <w:rsid w:val="00C44DDA"/>
    <w:rsid w:val="00C45861"/>
    <w:rsid w:val="00C46529"/>
    <w:rsid w:val="00C46BF0"/>
    <w:rsid w:val="00C47152"/>
    <w:rsid w:val="00C50F50"/>
    <w:rsid w:val="00C5108B"/>
    <w:rsid w:val="00C51327"/>
    <w:rsid w:val="00C51F37"/>
    <w:rsid w:val="00C54CFF"/>
    <w:rsid w:val="00C54D6E"/>
    <w:rsid w:val="00C572A7"/>
    <w:rsid w:val="00C57C60"/>
    <w:rsid w:val="00C60073"/>
    <w:rsid w:val="00C60CC2"/>
    <w:rsid w:val="00C6121F"/>
    <w:rsid w:val="00C612DD"/>
    <w:rsid w:val="00C618DC"/>
    <w:rsid w:val="00C61D59"/>
    <w:rsid w:val="00C62D4C"/>
    <w:rsid w:val="00C635BF"/>
    <w:rsid w:val="00C6558D"/>
    <w:rsid w:val="00C66485"/>
    <w:rsid w:val="00C67F77"/>
    <w:rsid w:val="00C70AB7"/>
    <w:rsid w:val="00C7184A"/>
    <w:rsid w:val="00C71944"/>
    <w:rsid w:val="00C7241C"/>
    <w:rsid w:val="00C74565"/>
    <w:rsid w:val="00C748C0"/>
    <w:rsid w:val="00C75140"/>
    <w:rsid w:val="00C76290"/>
    <w:rsid w:val="00C762C1"/>
    <w:rsid w:val="00C77EB2"/>
    <w:rsid w:val="00C817EA"/>
    <w:rsid w:val="00C821C5"/>
    <w:rsid w:val="00C82B25"/>
    <w:rsid w:val="00C82DA5"/>
    <w:rsid w:val="00C82DB6"/>
    <w:rsid w:val="00C84164"/>
    <w:rsid w:val="00C8585D"/>
    <w:rsid w:val="00C86282"/>
    <w:rsid w:val="00C878C6"/>
    <w:rsid w:val="00C90F33"/>
    <w:rsid w:val="00C92A62"/>
    <w:rsid w:val="00C93DCF"/>
    <w:rsid w:val="00C93DF1"/>
    <w:rsid w:val="00C944D5"/>
    <w:rsid w:val="00C9503A"/>
    <w:rsid w:val="00CA00FC"/>
    <w:rsid w:val="00CA396E"/>
    <w:rsid w:val="00CA3F07"/>
    <w:rsid w:val="00CA55D8"/>
    <w:rsid w:val="00CA59AD"/>
    <w:rsid w:val="00CA5F25"/>
    <w:rsid w:val="00CA6103"/>
    <w:rsid w:val="00CA7E19"/>
    <w:rsid w:val="00CB016A"/>
    <w:rsid w:val="00CB0330"/>
    <w:rsid w:val="00CB0E4F"/>
    <w:rsid w:val="00CB106F"/>
    <w:rsid w:val="00CB2569"/>
    <w:rsid w:val="00CB319E"/>
    <w:rsid w:val="00CB3A17"/>
    <w:rsid w:val="00CB4022"/>
    <w:rsid w:val="00CB4815"/>
    <w:rsid w:val="00CB486A"/>
    <w:rsid w:val="00CB4B53"/>
    <w:rsid w:val="00CB588B"/>
    <w:rsid w:val="00CB6599"/>
    <w:rsid w:val="00CB6623"/>
    <w:rsid w:val="00CB7FBC"/>
    <w:rsid w:val="00CC0756"/>
    <w:rsid w:val="00CC08AF"/>
    <w:rsid w:val="00CC16CB"/>
    <w:rsid w:val="00CC2782"/>
    <w:rsid w:val="00CC2AF0"/>
    <w:rsid w:val="00CC35D6"/>
    <w:rsid w:val="00CC3B93"/>
    <w:rsid w:val="00CC3D6B"/>
    <w:rsid w:val="00CC3F86"/>
    <w:rsid w:val="00CC5359"/>
    <w:rsid w:val="00CC5ED9"/>
    <w:rsid w:val="00CC5FEE"/>
    <w:rsid w:val="00CD011F"/>
    <w:rsid w:val="00CD1C8E"/>
    <w:rsid w:val="00CD27DE"/>
    <w:rsid w:val="00CD33FC"/>
    <w:rsid w:val="00CD3A68"/>
    <w:rsid w:val="00CD4C75"/>
    <w:rsid w:val="00CD4CCA"/>
    <w:rsid w:val="00CD52BC"/>
    <w:rsid w:val="00CD6B5D"/>
    <w:rsid w:val="00CD76A5"/>
    <w:rsid w:val="00CD7894"/>
    <w:rsid w:val="00CD792D"/>
    <w:rsid w:val="00CD7B59"/>
    <w:rsid w:val="00CE0875"/>
    <w:rsid w:val="00CE08D9"/>
    <w:rsid w:val="00CE0BD4"/>
    <w:rsid w:val="00CE0FB0"/>
    <w:rsid w:val="00CE1CD0"/>
    <w:rsid w:val="00CE2205"/>
    <w:rsid w:val="00CE41E1"/>
    <w:rsid w:val="00CE540A"/>
    <w:rsid w:val="00CE6A44"/>
    <w:rsid w:val="00CE6C41"/>
    <w:rsid w:val="00CE7729"/>
    <w:rsid w:val="00CF01FF"/>
    <w:rsid w:val="00CF19C4"/>
    <w:rsid w:val="00CF2579"/>
    <w:rsid w:val="00CF3851"/>
    <w:rsid w:val="00CF3F78"/>
    <w:rsid w:val="00CF41A7"/>
    <w:rsid w:val="00CF47D1"/>
    <w:rsid w:val="00CF5EE7"/>
    <w:rsid w:val="00CF65ED"/>
    <w:rsid w:val="00CF6D59"/>
    <w:rsid w:val="00CF70BA"/>
    <w:rsid w:val="00CF7189"/>
    <w:rsid w:val="00D012DF"/>
    <w:rsid w:val="00D01604"/>
    <w:rsid w:val="00D02854"/>
    <w:rsid w:val="00D02C04"/>
    <w:rsid w:val="00D055B5"/>
    <w:rsid w:val="00D058D3"/>
    <w:rsid w:val="00D05BC1"/>
    <w:rsid w:val="00D0675E"/>
    <w:rsid w:val="00D06B23"/>
    <w:rsid w:val="00D07691"/>
    <w:rsid w:val="00D07826"/>
    <w:rsid w:val="00D119A8"/>
    <w:rsid w:val="00D11D44"/>
    <w:rsid w:val="00D11DE5"/>
    <w:rsid w:val="00D11E5F"/>
    <w:rsid w:val="00D11EAB"/>
    <w:rsid w:val="00D122E8"/>
    <w:rsid w:val="00D1330A"/>
    <w:rsid w:val="00D13437"/>
    <w:rsid w:val="00D13ABB"/>
    <w:rsid w:val="00D146CD"/>
    <w:rsid w:val="00D14965"/>
    <w:rsid w:val="00D14AC1"/>
    <w:rsid w:val="00D151F9"/>
    <w:rsid w:val="00D151FC"/>
    <w:rsid w:val="00D15221"/>
    <w:rsid w:val="00D15382"/>
    <w:rsid w:val="00D15AF9"/>
    <w:rsid w:val="00D1746B"/>
    <w:rsid w:val="00D17C7B"/>
    <w:rsid w:val="00D20143"/>
    <w:rsid w:val="00D2230F"/>
    <w:rsid w:val="00D235AA"/>
    <w:rsid w:val="00D2395D"/>
    <w:rsid w:val="00D24B51"/>
    <w:rsid w:val="00D24D36"/>
    <w:rsid w:val="00D25B5A"/>
    <w:rsid w:val="00D30F48"/>
    <w:rsid w:val="00D31EBA"/>
    <w:rsid w:val="00D33E9F"/>
    <w:rsid w:val="00D354E5"/>
    <w:rsid w:val="00D35FCA"/>
    <w:rsid w:val="00D364C6"/>
    <w:rsid w:val="00D37B98"/>
    <w:rsid w:val="00D37DD3"/>
    <w:rsid w:val="00D418DA"/>
    <w:rsid w:val="00D420E2"/>
    <w:rsid w:val="00D42AA0"/>
    <w:rsid w:val="00D4325A"/>
    <w:rsid w:val="00D43D1E"/>
    <w:rsid w:val="00D43DB6"/>
    <w:rsid w:val="00D447B4"/>
    <w:rsid w:val="00D456A1"/>
    <w:rsid w:val="00D457AB"/>
    <w:rsid w:val="00D464EF"/>
    <w:rsid w:val="00D470CC"/>
    <w:rsid w:val="00D474D3"/>
    <w:rsid w:val="00D47AE5"/>
    <w:rsid w:val="00D50A7D"/>
    <w:rsid w:val="00D52A03"/>
    <w:rsid w:val="00D54CF4"/>
    <w:rsid w:val="00D55064"/>
    <w:rsid w:val="00D5578C"/>
    <w:rsid w:val="00D55876"/>
    <w:rsid w:val="00D55BA6"/>
    <w:rsid w:val="00D573A0"/>
    <w:rsid w:val="00D60D82"/>
    <w:rsid w:val="00D61383"/>
    <w:rsid w:val="00D62309"/>
    <w:rsid w:val="00D627F1"/>
    <w:rsid w:val="00D62D3D"/>
    <w:rsid w:val="00D6404D"/>
    <w:rsid w:val="00D64CF6"/>
    <w:rsid w:val="00D65A91"/>
    <w:rsid w:val="00D662F5"/>
    <w:rsid w:val="00D73BC4"/>
    <w:rsid w:val="00D73D73"/>
    <w:rsid w:val="00D7467D"/>
    <w:rsid w:val="00D75461"/>
    <w:rsid w:val="00D756CF"/>
    <w:rsid w:val="00D77BA9"/>
    <w:rsid w:val="00D77BCD"/>
    <w:rsid w:val="00D80FA6"/>
    <w:rsid w:val="00D81A1C"/>
    <w:rsid w:val="00D81AF7"/>
    <w:rsid w:val="00D821FC"/>
    <w:rsid w:val="00D831AB"/>
    <w:rsid w:val="00D83BFD"/>
    <w:rsid w:val="00D83F2A"/>
    <w:rsid w:val="00D84C9F"/>
    <w:rsid w:val="00D85646"/>
    <w:rsid w:val="00D913F7"/>
    <w:rsid w:val="00D91A23"/>
    <w:rsid w:val="00D92866"/>
    <w:rsid w:val="00D92968"/>
    <w:rsid w:val="00D93191"/>
    <w:rsid w:val="00D94394"/>
    <w:rsid w:val="00D94DF5"/>
    <w:rsid w:val="00D95554"/>
    <w:rsid w:val="00D96755"/>
    <w:rsid w:val="00D97A79"/>
    <w:rsid w:val="00DA0182"/>
    <w:rsid w:val="00DA043E"/>
    <w:rsid w:val="00DA2FEB"/>
    <w:rsid w:val="00DA3092"/>
    <w:rsid w:val="00DA39F7"/>
    <w:rsid w:val="00DA3DD1"/>
    <w:rsid w:val="00DA6332"/>
    <w:rsid w:val="00DA7922"/>
    <w:rsid w:val="00DA7DBD"/>
    <w:rsid w:val="00DB151C"/>
    <w:rsid w:val="00DB2398"/>
    <w:rsid w:val="00DB2480"/>
    <w:rsid w:val="00DB432E"/>
    <w:rsid w:val="00DB52E5"/>
    <w:rsid w:val="00DB53A7"/>
    <w:rsid w:val="00DB5A14"/>
    <w:rsid w:val="00DB68EE"/>
    <w:rsid w:val="00DB6C66"/>
    <w:rsid w:val="00DB728F"/>
    <w:rsid w:val="00DB7EE5"/>
    <w:rsid w:val="00DC308A"/>
    <w:rsid w:val="00DC638F"/>
    <w:rsid w:val="00DC6932"/>
    <w:rsid w:val="00DC6CFC"/>
    <w:rsid w:val="00DC7942"/>
    <w:rsid w:val="00DC79B4"/>
    <w:rsid w:val="00DC7EAC"/>
    <w:rsid w:val="00DD0015"/>
    <w:rsid w:val="00DD03A5"/>
    <w:rsid w:val="00DD112A"/>
    <w:rsid w:val="00DD1346"/>
    <w:rsid w:val="00DD1663"/>
    <w:rsid w:val="00DD418B"/>
    <w:rsid w:val="00DD5768"/>
    <w:rsid w:val="00DD57F0"/>
    <w:rsid w:val="00DD7B29"/>
    <w:rsid w:val="00DE0251"/>
    <w:rsid w:val="00DE21B9"/>
    <w:rsid w:val="00DE2777"/>
    <w:rsid w:val="00DE5B2A"/>
    <w:rsid w:val="00DE5ED7"/>
    <w:rsid w:val="00DE60EC"/>
    <w:rsid w:val="00DE714E"/>
    <w:rsid w:val="00DF0204"/>
    <w:rsid w:val="00DF082B"/>
    <w:rsid w:val="00DF0F1E"/>
    <w:rsid w:val="00DF2A55"/>
    <w:rsid w:val="00DF392A"/>
    <w:rsid w:val="00DF3C76"/>
    <w:rsid w:val="00E004E9"/>
    <w:rsid w:val="00E00843"/>
    <w:rsid w:val="00E00A5F"/>
    <w:rsid w:val="00E00AAA"/>
    <w:rsid w:val="00E0110D"/>
    <w:rsid w:val="00E018B2"/>
    <w:rsid w:val="00E01D6F"/>
    <w:rsid w:val="00E021E0"/>
    <w:rsid w:val="00E05C1D"/>
    <w:rsid w:val="00E06F11"/>
    <w:rsid w:val="00E0778B"/>
    <w:rsid w:val="00E115B6"/>
    <w:rsid w:val="00E129CF"/>
    <w:rsid w:val="00E13A97"/>
    <w:rsid w:val="00E14334"/>
    <w:rsid w:val="00E15728"/>
    <w:rsid w:val="00E16255"/>
    <w:rsid w:val="00E16B83"/>
    <w:rsid w:val="00E2043A"/>
    <w:rsid w:val="00E220BE"/>
    <w:rsid w:val="00E22BCE"/>
    <w:rsid w:val="00E230AC"/>
    <w:rsid w:val="00E244ED"/>
    <w:rsid w:val="00E24AF6"/>
    <w:rsid w:val="00E24BD3"/>
    <w:rsid w:val="00E263B6"/>
    <w:rsid w:val="00E26D71"/>
    <w:rsid w:val="00E272CD"/>
    <w:rsid w:val="00E27D72"/>
    <w:rsid w:val="00E313D2"/>
    <w:rsid w:val="00E329D1"/>
    <w:rsid w:val="00E337FD"/>
    <w:rsid w:val="00E339C5"/>
    <w:rsid w:val="00E34832"/>
    <w:rsid w:val="00E35239"/>
    <w:rsid w:val="00E352AB"/>
    <w:rsid w:val="00E3566D"/>
    <w:rsid w:val="00E37557"/>
    <w:rsid w:val="00E400FC"/>
    <w:rsid w:val="00E4170E"/>
    <w:rsid w:val="00E42576"/>
    <w:rsid w:val="00E42AB9"/>
    <w:rsid w:val="00E434F2"/>
    <w:rsid w:val="00E444E2"/>
    <w:rsid w:val="00E44833"/>
    <w:rsid w:val="00E45125"/>
    <w:rsid w:val="00E4561C"/>
    <w:rsid w:val="00E462D0"/>
    <w:rsid w:val="00E474C7"/>
    <w:rsid w:val="00E53804"/>
    <w:rsid w:val="00E5648D"/>
    <w:rsid w:val="00E5658A"/>
    <w:rsid w:val="00E6008E"/>
    <w:rsid w:val="00E60A65"/>
    <w:rsid w:val="00E636D3"/>
    <w:rsid w:val="00E63977"/>
    <w:rsid w:val="00E63A6B"/>
    <w:rsid w:val="00E6443B"/>
    <w:rsid w:val="00E64A08"/>
    <w:rsid w:val="00E64F4C"/>
    <w:rsid w:val="00E654D5"/>
    <w:rsid w:val="00E65CCA"/>
    <w:rsid w:val="00E65EF3"/>
    <w:rsid w:val="00E70CD9"/>
    <w:rsid w:val="00E716A1"/>
    <w:rsid w:val="00E732F9"/>
    <w:rsid w:val="00E735F5"/>
    <w:rsid w:val="00E7404D"/>
    <w:rsid w:val="00E7438F"/>
    <w:rsid w:val="00E74403"/>
    <w:rsid w:val="00E7524E"/>
    <w:rsid w:val="00E77AAF"/>
    <w:rsid w:val="00E81455"/>
    <w:rsid w:val="00E84220"/>
    <w:rsid w:val="00E86196"/>
    <w:rsid w:val="00E91028"/>
    <w:rsid w:val="00E912D6"/>
    <w:rsid w:val="00E9166E"/>
    <w:rsid w:val="00E93FA1"/>
    <w:rsid w:val="00E947E6"/>
    <w:rsid w:val="00E9587D"/>
    <w:rsid w:val="00E96081"/>
    <w:rsid w:val="00E9764F"/>
    <w:rsid w:val="00E97EF1"/>
    <w:rsid w:val="00EA019F"/>
    <w:rsid w:val="00EA040C"/>
    <w:rsid w:val="00EA109F"/>
    <w:rsid w:val="00EA2CD5"/>
    <w:rsid w:val="00EA3768"/>
    <w:rsid w:val="00EA48A0"/>
    <w:rsid w:val="00EA7BAD"/>
    <w:rsid w:val="00EB029F"/>
    <w:rsid w:val="00EB1F10"/>
    <w:rsid w:val="00EB230D"/>
    <w:rsid w:val="00EB3989"/>
    <w:rsid w:val="00EB3D85"/>
    <w:rsid w:val="00EB4CE8"/>
    <w:rsid w:val="00EB569A"/>
    <w:rsid w:val="00EB6613"/>
    <w:rsid w:val="00EB69D2"/>
    <w:rsid w:val="00EB741E"/>
    <w:rsid w:val="00EB7540"/>
    <w:rsid w:val="00EC03E0"/>
    <w:rsid w:val="00EC17BF"/>
    <w:rsid w:val="00EC1B52"/>
    <w:rsid w:val="00EC20ED"/>
    <w:rsid w:val="00EC4C82"/>
    <w:rsid w:val="00EC6049"/>
    <w:rsid w:val="00EC612C"/>
    <w:rsid w:val="00EC615C"/>
    <w:rsid w:val="00EC6BB5"/>
    <w:rsid w:val="00ED0C6D"/>
    <w:rsid w:val="00ED1F78"/>
    <w:rsid w:val="00ED3C5F"/>
    <w:rsid w:val="00ED4A4C"/>
    <w:rsid w:val="00ED4C78"/>
    <w:rsid w:val="00ED55A1"/>
    <w:rsid w:val="00ED6831"/>
    <w:rsid w:val="00ED708A"/>
    <w:rsid w:val="00ED7ED2"/>
    <w:rsid w:val="00EE095C"/>
    <w:rsid w:val="00EE0E8C"/>
    <w:rsid w:val="00EE1606"/>
    <w:rsid w:val="00EE3FC1"/>
    <w:rsid w:val="00EE4B32"/>
    <w:rsid w:val="00EE5408"/>
    <w:rsid w:val="00EE6CD8"/>
    <w:rsid w:val="00EE6D3D"/>
    <w:rsid w:val="00EE7EA1"/>
    <w:rsid w:val="00EE7F3A"/>
    <w:rsid w:val="00EF0418"/>
    <w:rsid w:val="00EF1762"/>
    <w:rsid w:val="00EF188F"/>
    <w:rsid w:val="00EF1CD2"/>
    <w:rsid w:val="00EF1E4E"/>
    <w:rsid w:val="00EF2694"/>
    <w:rsid w:val="00EF2AE1"/>
    <w:rsid w:val="00EF32B3"/>
    <w:rsid w:val="00EF3A4D"/>
    <w:rsid w:val="00EF3E79"/>
    <w:rsid w:val="00EF5FDF"/>
    <w:rsid w:val="00EF69D1"/>
    <w:rsid w:val="00EF7019"/>
    <w:rsid w:val="00EF7070"/>
    <w:rsid w:val="00F019AF"/>
    <w:rsid w:val="00F01BAA"/>
    <w:rsid w:val="00F01CEE"/>
    <w:rsid w:val="00F02C85"/>
    <w:rsid w:val="00F03F58"/>
    <w:rsid w:val="00F0443A"/>
    <w:rsid w:val="00F066CD"/>
    <w:rsid w:val="00F06BBF"/>
    <w:rsid w:val="00F106DA"/>
    <w:rsid w:val="00F11F21"/>
    <w:rsid w:val="00F12031"/>
    <w:rsid w:val="00F12488"/>
    <w:rsid w:val="00F1330B"/>
    <w:rsid w:val="00F13535"/>
    <w:rsid w:val="00F147D8"/>
    <w:rsid w:val="00F14939"/>
    <w:rsid w:val="00F14ADA"/>
    <w:rsid w:val="00F15150"/>
    <w:rsid w:val="00F15647"/>
    <w:rsid w:val="00F15967"/>
    <w:rsid w:val="00F169FA"/>
    <w:rsid w:val="00F16D56"/>
    <w:rsid w:val="00F20544"/>
    <w:rsid w:val="00F208F0"/>
    <w:rsid w:val="00F2106B"/>
    <w:rsid w:val="00F210A5"/>
    <w:rsid w:val="00F22B58"/>
    <w:rsid w:val="00F22D19"/>
    <w:rsid w:val="00F24311"/>
    <w:rsid w:val="00F24576"/>
    <w:rsid w:val="00F269EB"/>
    <w:rsid w:val="00F27BCA"/>
    <w:rsid w:val="00F30244"/>
    <w:rsid w:val="00F3050F"/>
    <w:rsid w:val="00F3075A"/>
    <w:rsid w:val="00F30C67"/>
    <w:rsid w:val="00F31DC3"/>
    <w:rsid w:val="00F33B6C"/>
    <w:rsid w:val="00F354C5"/>
    <w:rsid w:val="00F35A7E"/>
    <w:rsid w:val="00F3793F"/>
    <w:rsid w:val="00F37BF7"/>
    <w:rsid w:val="00F400B9"/>
    <w:rsid w:val="00F423A5"/>
    <w:rsid w:val="00F4314A"/>
    <w:rsid w:val="00F45FE2"/>
    <w:rsid w:val="00F47611"/>
    <w:rsid w:val="00F50C4C"/>
    <w:rsid w:val="00F50EC2"/>
    <w:rsid w:val="00F51B88"/>
    <w:rsid w:val="00F523AC"/>
    <w:rsid w:val="00F5363E"/>
    <w:rsid w:val="00F54080"/>
    <w:rsid w:val="00F544FA"/>
    <w:rsid w:val="00F5579D"/>
    <w:rsid w:val="00F55CD9"/>
    <w:rsid w:val="00F563A5"/>
    <w:rsid w:val="00F56431"/>
    <w:rsid w:val="00F57A88"/>
    <w:rsid w:val="00F57DC3"/>
    <w:rsid w:val="00F6076B"/>
    <w:rsid w:val="00F60AF7"/>
    <w:rsid w:val="00F6125D"/>
    <w:rsid w:val="00F61616"/>
    <w:rsid w:val="00F618D2"/>
    <w:rsid w:val="00F62B3B"/>
    <w:rsid w:val="00F63F67"/>
    <w:rsid w:val="00F6473B"/>
    <w:rsid w:val="00F65057"/>
    <w:rsid w:val="00F651D2"/>
    <w:rsid w:val="00F65291"/>
    <w:rsid w:val="00F67674"/>
    <w:rsid w:val="00F67DEC"/>
    <w:rsid w:val="00F67F8F"/>
    <w:rsid w:val="00F71266"/>
    <w:rsid w:val="00F7185C"/>
    <w:rsid w:val="00F72214"/>
    <w:rsid w:val="00F72743"/>
    <w:rsid w:val="00F72F29"/>
    <w:rsid w:val="00F7360F"/>
    <w:rsid w:val="00F740AE"/>
    <w:rsid w:val="00F772AA"/>
    <w:rsid w:val="00F776DF"/>
    <w:rsid w:val="00F805AC"/>
    <w:rsid w:val="00F80F5A"/>
    <w:rsid w:val="00F81C5C"/>
    <w:rsid w:val="00F81F39"/>
    <w:rsid w:val="00F82BC0"/>
    <w:rsid w:val="00F82F4E"/>
    <w:rsid w:val="00F849E1"/>
    <w:rsid w:val="00F870FB"/>
    <w:rsid w:val="00F87E17"/>
    <w:rsid w:val="00F92C16"/>
    <w:rsid w:val="00F930A5"/>
    <w:rsid w:val="00F9338C"/>
    <w:rsid w:val="00F934A9"/>
    <w:rsid w:val="00F93ADB"/>
    <w:rsid w:val="00F9643C"/>
    <w:rsid w:val="00F96881"/>
    <w:rsid w:val="00F96EAA"/>
    <w:rsid w:val="00FA051B"/>
    <w:rsid w:val="00FA1473"/>
    <w:rsid w:val="00FA155E"/>
    <w:rsid w:val="00FA3D92"/>
    <w:rsid w:val="00FA3FB8"/>
    <w:rsid w:val="00FA4F48"/>
    <w:rsid w:val="00FA7D37"/>
    <w:rsid w:val="00FB0813"/>
    <w:rsid w:val="00FB0CCA"/>
    <w:rsid w:val="00FB1933"/>
    <w:rsid w:val="00FB19CC"/>
    <w:rsid w:val="00FB1F39"/>
    <w:rsid w:val="00FB3E24"/>
    <w:rsid w:val="00FB56FA"/>
    <w:rsid w:val="00FB62CA"/>
    <w:rsid w:val="00FB6339"/>
    <w:rsid w:val="00FB6523"/>
    <w:rsid w:val="00FB7482"/>
    <w:rsid w:val="00FB7489"/>
    <w:rsid w:val="00FB7944"/>
    <w:rsid w:val="00FC00E6"/>
    <w:rsid w:val="00FC0700"/>
    <w:rsid w:val="00FC294A"/>
    <w:rsid w:val="00FC3572"/>
    <w:rsid w:val="00FC40A2"/>
    <w:rsid w:val="00FC49D9"/>
    <w:rsid w:val="00FC5807"/>
    <w:rsid w:val="00FC58D2"/>
    <w:rsid w:val="00FC67D7"/>
    <w:rsid w:val="00FC6C75"/>
    <w:rsid w:val="00FC798B"/>
    <w:rsid w:val="00FD041F"/>
    <w:rsid w:val="00FD0DC2"/>
    <w:rsid w:val="00FD335B"/>
    <w:rsid w:val="00FD4B7F"/>
    <w:rsid w:val="00FD5A83"/>
    <w:rsid w:val="00FD5C22"/>
    <w:rsid w:val="00FD66F4"/>
    <w:rsid w:val="00FD7041"/>
    <w:rsid w:val="00FE1148"/>
    <w:rsid w:val="00FE201E"/>
    <w:rsid w:val="00FE2A26"/>
    <w:rsid w:val="00FE2FFD"/>
    <w:rsid w:val="00FE3F01"/>
    <w:rsid w:val="00FE6101"/>
    <w:rsid w:val="00FE6762"/>
    <w:rsid w:val="00FF016B"/>
    <w:rsid w:val="00FF0290"/>
    <w:rsid w:val="00FF0761"/>
    <w:rsid w:val="00FF70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style="mso-position-vertical-relative:line" fillcolor="white" stroke="f">
      <v:fill color="white"/>
      <v:stroke on="f"/>
      <v:textbox style="mso-fit-shape-to-text:t" inset="0,0,0,0"/>
    </o:shapedefaults>
    <o:shapelayout v:ext="edit">
      <o:idmap v:ext="edit" data="2"/>
    </o:shapelayout>
  </w:shapeDefaults>
  <w:decimalSymbol w:val="."/>
  <w:listSeparator w:val=","/>
  <w14:docId w14:val="523FBD10"/>
  <w15:docId w15:val="{A6D2D8C1-85F4-446A-9DFE-16489CAEC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4BCE"/>
    <w:pPr>
      <w:spacing w:after="20" w:line="240" w:lineRule="auto"/>
    </w:pPr>
  </w:style>
  <w:style w:type="paragraph" w:styleId="Heading1">
    <w:name w:val="heading 1"/>
    <w:basedOn w:val="ListParagraph"/>
    <w:next w:val="Normal"/>
    <w:link w:val="Heading1Char"/>
    <w:uiPriority w:val="9"/>
    <w:qFormat/>
    <w:rsid w:val="008739B9"/>
    <w:pPr>
      <w:spacing w:after="0" w:line="480" w:lineRule="auto"/>
      <w:ind w:left="360" w:hanging="360"/>
      <w:jc w:val="center"/>
      <w:outlineLvl w:val="0"/>
    </w:pPr>
    <w:rPr>
      <w:rFonts w:ascii="Times New Roman" w:hAnsi="Times New Roman" w:cs="Times New Roman"/>
      <w:b/>
      <w:bCs/>
      <w:sz w:val="24"/>
      <w:szCs w:val="24"/>
    </w:rPr>
  </w:style>
  <w:style w:type="paragraph" w:styleId="Heading2">
    <w:name w:val="heading 2"/>
    <w:basedOn w:val="ListParagraph"/>
    <w:next w:val="Normal"/>
    <w:link w:val="Heading2Char"/>
    <w:uiPriority w:val="9"/>
    <w:unhideWhenUsed/>
    <w:qFormat/>
    <w:rsid w:val="00507EFB"/>
    <w:pPr>
      <w:numPr>
        <w:ilvl w:val="1"/>
        <w:numId w:val="8"/>
      </w:numPr>
      <w:outlineLvl w:val="1"/>
    </w:pPr>
    <w:rPr>
      <w:rFonts w:ascii="Times New Roman" w:hAnsi="Times New Roman" w:cs="Times New Roman"/>
      <w:b/>
      <w:bCs/>
      <w:sz w:val="24"/>
      <w:szCs w:val="24"/>
    </w:rPr>
  </w:style>
  <w:style w:type="paragraph" w:styleId="Heading3">
    <w:name w:val="heading 3"/>
    <w:basedOn w:val="Normal"/>
    <w:next w:val="Normal"/>
    <w:link w:val="Heading3Char"/>
    <w:uiPriority w:val="9"/>
    <w:unhideWhenUsed/>
    <w:qFormat/>
    <w:rsid w:val="003A7E1B"/>
    <w:pPr>
      <w:keepNext/>
      <w:keepLines/>
      <w:spacing w:before="40" w:after="120"/>
      <w:outlineLvl w:val="2"/>
    </w:pPr>
    <w:rPr>
      <w:rFonts w:ascii="Times New Roman" w:eastAsiaTheme="majorEastAsia"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412"/>
    <w:pPr>
      <w:tabs>
        <w:tab w:val="center" w:pos="4680"/>
        <w:tab w:val="right" w:pos="9360"/>
      </w:tabs>
      <w:spacing w:after="0"/>
    </w:pPr>
  </w:style>
  <w:style w:type="character" w:customStyle="1" w:styleId="HeaderChar">
    <w:name w:val="Header Char"/>
    <w:basedOn w:val="DefaultParagraphFont"/>
    <w:link w:val="Header"/>
    <w:uiPriority w:val="99"/>
    <w:rsid w:val="00442412"/>
  </w:style>
  <w:style w:type="paragraph" w:styleId="Footer">
    <w:name w:val="footer"/>
    <w:basedOn w:val="Normal"/>
    <w:link w:val="FooterChar"/>
    <w:uiPriority w:val="99"/>
    <w:unhideWhenUsed/>
    <w:rsid w:val="00442412"/>
    <w:pPr>
      <w:tabs>
        <w:tab w:val="center" w:pos="4680"/>
        <w:tab w:val="right" w:pos="9360"/>
      </w:tabs>
      <w:spacing w:after="0"/>
    </w:pPr>
  </w:style>
  <w:style w:type="character" w:customStyle="1" w:styleId="FooterChar">
    <w:name w:val="Footer Char"/>
    <w:basedOn w:val="DefaultParagraphFont"/>
    <w:link w:val="Footer"/>
    <w:uiPriority w:val="99"/>
    <w:rsid w:val="00442412"/>
  </w:style>
  <w:style w:type="character" w:styleId="CommentReference">
    <w:name w:val="annotation reference"/>
    <w:basedOn w:val="DefaultParagraphFont"/>
    <w:uiPriority w:val="99"/>
    <w:semiHidden/>
    <w:unhideWhenUsed/>
    <w:rsid w:val="00AF2B2F"/>
    <w:rPr>
      <w:sz w:val="16"/>
      <w:szCs w:val="16"/>
    </w:rPr>
  </w:style>
  <w:style w:type="paragraph" w:styleId="CommentText">
    <w:name w:val="annotation text"/>
    <w:basedOn w:val="Normal"/>
    <w:link w:val="CommentTextChar"/>
    <w:uiPriority w:val="99"/>
    <w:unhideWhenUsed/>
    <w:rsid w:val="00AF2B2F"/>
    <w:rPr>
      <w:sz w:val="20"/>
      <w:szCs w:val="20"/>
    </w:rPr>
  </w:style>
  <w:style w:type="character" w:customStyle="1" w:styleId="CommentTextChar">
    <w:name w:val="Comment Text Char"/>
    <w:basedOn w:val="DefaultParagraphFont"/>
    <w:link w:val="CommentText"/>
    <w:uiPriority w:val="99"/>
    <w:rsid w:val="00AF2B2F"/>
    <w:rPr>
      <w:sz w:val="20"/>
      <w:szCs w:val="20"/>
    </w:rPr>
  </w:style>
  <w:style w:type="paragraph" w:styleId="CommentSubject">
    <w:name w:val="annotation subject"/>
    <w:basedOn w:val="CommentText"/>
    <w:next w:val="CommentText"/>
    <w:link w:val="CommentSubjectChar"/>
    <w:uiPriority w:val="99"/>
    <w:semiHidden/>
    <w:unhideWhenUsed/>
    <w:rsid w:val="00AF2B2F"/>
    <w:rPr>
      <w:b/>
      <w:bCs/>
    </w:rPr>
  </w:style>
  <w:style w:type="character" w:customStyle="1" w:styleId="CommentSubjectChar">
    <w:name w:val="Comment Subject Char"/>
    <w:basedOn w:val="CommentTextChar"/>
    <w:link w:val="CommentSubject"/>
    <w:uiPriority w:val="99"/>
    <w:semiHidden/>
    <w:rsid w:val="00AF2B2F"/>
    <w:rPr>
      <w:b/>
      <w:bCs/>
      <w:sz w:val="20"/>
      <w:szCs w:val="20"/>
    </w:rPr>
  </w:style>
  <w:style w:type="paragraph" w:styleId="Bibliography">
    <w:name w:val="Bibliography"/>
    <w:basedOn w:val="Normal"/>
    <w:next w:val="Normal"/>
    <w:uiPriority w:val="37"/>
    <w:unhideWhenUsed/>
    <w:rsid w:val="00AF0B1B"/>
    <w:pPr>
      <w:spacing w:after="240"/>
      <w:ind w:left="720" w:hanging="720"/>
    </w:pPr>
  </w:style>
  <w:style w:type="paragraph" w:styleId="ListParagraph">
    <w:name w:val="List Paragraph"/>
    <w:basedOn w:val="Normal"/>
    <w:uiPriority w:val="34"/>
    <w:qFormat/>
    <w:rsid w:val="003C4979"/>
    <w:pPr>
      <w:ind w:left="720"/>
      <w:contextualSpacing/>
    </w:pPr>
  </w:style>
  <w:style w:type="character" w:customStyle="1" w:styleId="Heading1Char">
    <w:name w:val="Heading 1 Char"/>
    <w:basedOn w:val="DefaultParagraphFont"/>
    <w:link w:val="Heading1"/>
    <w:uiPriority w:val="9"/>
    <w:rsid w:val="008739B9"/>
    <w:rPr>
      <w:rFonts w:ascii="Times New Roman" w:hAnsi="Times New Roman" w:cs="Times New Roman"/>
      <w:b/>
      <w:bCs/>
      <w:sz w:val="24"/>
      <w:szCs w:val="24"/>
    </w:rPr>
  </w:style>
  <w:style w:type="character" w:customStyle="1" w:styleId="Heading2Char">
    <w:name w:val="Heading 2 Char"/>
    <w:basedOn w:val="DefaultParagraphFont"/>
    <w:link w:val="Heading2"/>
    <w:uiPriority w:val="9"/>
    <w:rsid w:val="00507EFB"/>
    <w:rPr>
      <w:rFonts w:ascii="Times New Roman" w:hAnsi="Times New Roman" w:cs="Times New Roman"/>
      <w:b/>
      <w:bCs/>
      <w:sz w:val="24"/>
      <w:szCs w:val="24"/>
    </w:rPr>
  </w:style>
  <w:style w:type="paragraph" w:styleId="Caption">
    <w:name w:val="caption"/>
    <w:basedOn w:val="Normal"/>
    <w:next w:val="Normal"/>
    <w:uiPriority w:val="35"/>
    <w:unhideWhenUsed/>
    <w:qFormat/>
    <w:rsid w:val="002A1C4D"/>
    <w:pPr>
      <w:spacing w:after="200"/>
      <w:jc w:val="both"/>
    </w:pPr>
    <w:rPr>
      <w:rFonts w:ascii="Times New Roman" w:hAnsi="Times New Roman" w:cs="Times New Roman"/>
      <w:i/>
      <w:iCs/>
      <w:sz w:val="24"/>
      <w:szCs w:val="24"/>
    </w:rPr>
  </w:style>
  <w:style w:type="paragraph" w:styleId="TableofFigures">
    <w:name w:val="table of figures"/>
    <w:basedOn w:val="Normal"/>
    <w:next w:val="Normal"/>
    <w:uiPriority w:val="99"/>
    <w:unhideWhenUsed/>
    <w:rsid w:val="002245AA"/>
    <w:pPr>
      <w:spacing w:after="240"/>
    </w:pPr>
    <w:rPr>
      <w:rFonts w:ascii="Times New Roman" w:hAnsi="Times New Roman"/>
      <w:i/>
      <w:noProof/>
      <w:sz w:val="24"/>
    </w:rPr>
  </w:style>
  <w:style w:type="character" w:styleId="Hyperlink">
    <w:name w:val="Hyperlink"/>
    <w:basedOn w:val="DefaultParagraphFont"/>
    <w:uiPriority w:val="99"/>
    <w:unhideWhenUsed/>
    <w:rsid w:val="003C01CD"/>
    <w:rPr>
      <w:color w:val="0563C1" w:themeColor="hyperlink"/>
      <w:u w:val="single"/>
    </w:rPr>
  </w:style>
  <w:style w:type="character" w:styleId="PlaceholderText">
    <w:name w:val="Placeholder Text"/>
    <w:basedOn w:val="DefaultParagraphFont"/>
    <w:uiPriority w:val="99"/>
    <w:semiHidden/>
    <w:rsid w:val="00BB73EE"/>
    <w:rPr>
      <w:color w:val="808080"/>
    </w:rPr>
  </w:style>
  <w:style w:type="table" w:styleId="TableGrid">
    <w:name w:val="Table Grid"/>
    <w:basedOn w:val="TableNormal"/>
    <w:uiPriority w:val="39"/>
    <w:rsid w:val="001E44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92968"/>
    <w:pPr>
      <w:keepNext/>
      <w:keepLines/>
      <w:spacing w:before="240" w:line="259" w:lineRule="auto"/>
      <w:ind w:left="0" w:firstLine="0"/>
      <w:contextualSpacing w:val="0"/>
      <w:jc w:val="left"/>
      <w:outlineLvl w:val="9"/>
    </w:pPr>
    <w:rPr>
      <w:rFonts w:asciiTheme="majorHAnsi" w:eastAsiaTheme="majorEastAsia" w:hAnsiTheme="majorHAnsi" w:cstheme="majorBidi"/>
      <w:b w:val="0"/>
      <w:bCs w:val="0"/>
      <w:color w:val="2F5496" w:themeColor="accent1" w:themeShade="BF"/>
      <w:sz w:val="32"/>
      <w:szCs w:val="32"/>
    </w:rPr>
  </w:style>
  <w:style w:type="paragraph" w:styleId="TOC1">
    <w:name w:val="toc 1"/>
    <w:basedOn w:val="Normal"/>
    <w:next w:val="Normal"/>
    <w:autoRedefine/>
    <w:uiPriority w:val="39"/>
    <w:unhideWhenUsed/>
    <w:rsid w:val="00CC3D6B"/>
    <w:pPr>
      <w:tabs>
        <w:tab w:val="right" w:leader="dot" w:pos="9350"/>
      </w:tabs>
      <w:spacing w:after="100"/>
    </w:pPr>
    <w:rPr>
      <w:rFonts w:ascii="Times New Roman" w:hAnsi="Times New Roman" w:cs="Times New Roman"/>
      <w:noProof/>
      <w:sz w:val="24"/>
      <w:szCs w:val="24"/>
    </w:rPr>
  </w:style>
  <w:style w:type="paragraph" w:styleId="BalloonText">
    <w:name w:val="Balloon Text"/>
    <w:basedOn w:val="Normal"/>
    <w:link w:val="BalloonTextChar"/>
    <w:uiPriority w:val="99"/>
    <w:semiHidden/>
    <w:unhideWhenUsed/>
    <w:rsid w:val="0065343F"/>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343F"/>
    <w:rPr>
      <w:rFonts w:ascii="Segoe UI" w:hAnsi="Segoe UI" w:cs="Segoe UI"/>
      <w:sz w:val="18"/>
      <w:szCs w:val="18"/>
    </w:rPr>
  </w:style>
  <w:style w:type="paragraph" w:styleId="Revision">
    <w:name w:val="Revision"/>
    <w:hidden/>
    <w:uiPriority w:val="99"/>
    <w:semiHidden/>
    <w:rsid w:val="00F934A9"/>
    <w:pPr>
      <w:spacing w:after="0" w:line="240" w:lineRule="auto"/>
    </w:pPr>
  </w:style>
  <w:style w:type="paragraph" w:styleId="TOC2">
    <w:name w:val="toc 2"/>
    <w:basedOn w:val="Normal"/>
    <w:next w:val="Normal"/>
    <w:autoRedefine/>
    <w:uiPriority w:val="39"/>
    <w:unhideWhenUsed/>
    <w:rsid w:val="00CC3D6B"/>
    <w:pPr>
      <w:tabs>
        <w:tab w:val="left" w:pos="880"/>
        <w:tab w:val="right" w:leader="dot" w:pos="9350"/>
      </w:tabs>
      <w:spacing w:after="100"/>
      <w:ind w:left="220"/>
    </w:pPr>
    <w:rPr>
      <w:rFonts w:ascii="Times New Roman" w:hAnsi="Times New Roman" w:cs="Times New Roman"/>
      <w:noProof/>
      <w:sz w:val="24"/>
      <w:szCs w:val="24"/>
    </w:rPr>
  </w:style>
  <w:style w:type="paragraph" w:customStyle="1" w:styleId="TableCaption">
    <w:name w:val="Table Caption"/>
    <w:basedOn w:val="TextFormat"/>
    <w:qFormat/>
    <w:rsid w:val="00D94DF5"/>
    <w:pPr>
      <w:spacing w:after="40" w:line="240" w:lineRule="auto"/>
      <w:ind w:firstLine="0"/>
    </w:pPr>
    <w:rPr>
      <w:i/>
      <w:iCs/>
    </w:rPr>
  </w:style>
  <w:style w:type="character" w:styleId="UnresolvedMention">
    <w:name w:val="Unresolved Mention"/>
    <w:basedOn w:val="DefaultParagraphFont"/>
    <w:uiPriority w:val="99"/>
    <w:semiHidden/>
    <w:unhideWhenUsed/>
    <w:rsid w:val="00E5648D"/>
    <w:rPr>
      <w:color w:val="605E5C"/>
      <w:shd w:val="clear" w:color="auto" w:fill="E1DFDD"/>
    </w:rPr>
  </w:style>
  <w:style w:type="paragraph" w:customStyle="1" w:styleId="TextFormat">
    <w:name w:val="Text Format"/>
    <w:link w:val="TextFormatChar"/>
    <w:qFormat/>
    <w:rsid w:val="002A1C4D"/>
    <w:pPr>
      <w:spacing w:after="0" w:line="480" w:lineRule="auto"/>
      <w:ind w:firstLine="720"/>
      <w:jc w:val="both"/>
    </w:pPr>
    <w:rPr>
      <w:rFonts w:ascii="Times New Roman" w:hAnsi="Times New Roman" w:cs="Times New Roman"/>
      <w:sz w:val="24"/>
      <w:szCs w:val="24"/>
    </w:rPr>
  </w:style>
  <w:style w:type="character" w:customStyle="1" w:styleId="TextFormatChar">
    <w:name w:val="Text Format Char"/>
    <w:basedOn w:val="DefaultParagraphFont"/>
    <w:link w:val="TextFormat"/>
    <w:rsid w:val="002A1C4D"/>
    <w:rPr>
      <w:rFonts w:ascii="Times New Roman" w:hAnsi="Times New Roman" w:cs="Times New Roman"/>
      <w:sz w:val="24"/>
      <w:szCs w:val="24"/>
    </w:rPr>
  </w:style>
  <w:style w:type="paragraph" w:customStyle="1" w:styleId="Equation">
    <w:name w:val="Equation"/>
    <w:basedOn w:val="TextFormat"/>
    <w:rsid w:val="0057198B"/>
    <w:pPr>
      <w:ind w:firstLine="0"/>
      <w:jc w:val="center"/>
    </w:pPr>
    <w:rPr>
      <w:rFonts w:ascii="Cambria Math" w:hAnsi="Cambria Math"/>
      <w:iCs/>
    </w:rPr>
  </w:style>
  <w:style w:type="paragraph" w:customStyle="1" w:styleId="Figure">
    <w:name w:val="Figure"/>
    <w:basedOn w:val="FigureCaption"/>
    <w:qFormat/>
    <w:rsid w:val="00FD66F4"/>
    <w:pPr>
      <w:spacing w:after="0"/>
      <w:jc w:val="center"/>
    </w:pPr>
    <w:rPr>
      <w:noProof/>
    </w:rPr>
  </w:style>
  <w:style w:type="paragraph" w:styleId="NoSpacing">
    <w:name w:val="No Spacing"/>
    <w:uiPriority w:val="1"/>
    <w:qFormat/>
    <w:rsid w:val="008739B9"/>
    <w:pPr>
      <w:spacing w:after="0" w:line="240" w:lineRule="auto"/>
    </w:pPr>
  </w:style>
  <w:style w:type="paragraph" w:customStyle="1" w:styleId="FigureCaption">
    <w:name w:val="Figure Caption"/>
    <w:basedOn w:val="TableCaption"/>
    <w:qFormat/>
    <w:rsid w:val="000865E7"/>
    <w:pPr>
      <w:spacing w:after="240"/>
    </w:pPr>
  </w:style>
  <w:style w:type="paragraph" w:customStyle="1" w:styleId="Bullet-TextFormat">
    <w:name w:val="Bullet-Text Format"/>
    <w:basedOn w:val="TextFormat"/>
    <w:qFormat/>
    <w:rsid w:val="008739B9"/>
    <w:pPr>
      <w:numPr>
        <w:numId w:val="25"/>
      </w:numPr>
    </w:pPr>
  </w:style>
  <w:style w:type="paragraph" w:customStyle="1" w:styleId="Table">
    <w:name w:val="Table"/>
    <w:basedOn w:val="Normal"/>
    <w:qFormat/>
    <w:rsid w:val="00092EE3"/>
    <w:pPr>
      <w:framePr w:hSpace="1440" w:wrap="around" w:vAnchor="text" w:hAnchor="text" w:xAlign="center" w:y="1"/>
      <w:spacing w:after="0"/>
      <w:suppressOverlap/>
    </w:pPr>
    <w:rPr>
      <w:rFonts w:ascii="Times New Roman" w:eastAsia="Times New Roman" w:hAnsi="Times New Roman" w:cs="Times New Roman"/>
      <w:b/>
      <w:bCs/>
      <w:color w:val="000000"/>
      <w:sz w:val="24"/>
      <w:szCs w:val="24"/>
    </w:rPr>
  </w:style>
  <w:style w:type="paragraph" w:customStyle="1" w:styleId="TitlePage">
    <w:name w:val="Title Page"/>
    <w:basedOn w:val="FigureCaption"/>
    <w:qFormat/>
    <w:rsid w:val="00B601DF"/>
  </w:style>
  <w:style w:type="character" w:customStyle="1" w:styleId="Heading3Char">
    <w:name w:val="Heading 3 Char"/>
    <w:basedOn w:val="DefaultParagraphFont"/>
    <w:link w:val="Heading3"/>
    <w:uiPriority w:val="9"/>
    <w:rsid w:val="003A7E1B"/>
    <w:rPr>
      <w:rFonts w:ascii="Times New Roman" w:eastAsiaTheme="majorEastAsia" w:hAnsi="Times New Roman" w:cs="Times New Roman"/>
      <w:b/>
      <w:bCs/>
      <w:sz w:val="24"/>
      <w:szCs w:val="24"/>
    </w:rPr>
  </w:style>
  <w:style w:type="paragraph" w:styleId="TOC3">
    <w:name w:val="toc 3"/>
    <w:basedOn w:val="Normal"/>
    <w:next w:val="Normal"/>
    <w:autoRedefine/>
    <w:uiPriority w:val="39"/>
    <w:unhideWhenUsed/>
    <w:rsid w:val="002908F5"/>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915163">
      <w:bodyDiv w:val="1"/>
      <w:marLeft w:val="0"/>
      <w:marRight w:val="0"/>
      <w:marTop w:val="0"/>
      <w:marBottom w:val="0"/>
      <w:divBdr>
        <w:top w:val="none" w:sz="0" w:space="0" w:color="auto"/>
        <w:left w:val="none" w:sz="0" w:space="0" w:color="auto"/>
        <w:bottom w:val="none" w:sz="0" w:space="0" w:color="auto"/>
        <w:right w:val="none" w:sz="0" w:space="0" w:color="auto"/>
      </w:divBdr>
    </w:div>
    <w:div w:id="273220995">
      <w:bodyDiv w:val="1"/>
      <w:marLeft w:val="0"/>
      <w:marRight w:val="0"/>
      <w:marTop w:val="0"/>
      <w:marBottom w:val="0"/>
      <w:divBdr>
        <w:top w:val="none" w:sz="0" w:space="0" w:color="auto"/>
        <w:left w:val="none" w:sz="0" w:space="0" w:color="auto"/>
        <w:bottom w:val="none" w:sz="0" w:space="0" w:color="auto"/>
        <w:right w:val="none" w:sz="0" w:space="0" w:color="auto"/>
      </w:divBdr>
    </w:div>
    <w:div w:id="300160801">
      <w:bodyDiv w:val="1"/>
      <w:marLeft w:val="0"/>
      <w:marRight w:val="0"/>
      <w:marTop w:val="0"/>
      <w:marBottom w:val="0"/>
      <w:divBdr>
        <w:top w:val="none" w:sz="0" w:space="0" w:color="auto"/>
        <w:left w:val="none" w:sz="0" w:space="0" w:color="auto"/>
        <w:bottom w:val="none" w:sz="0" w:space="0" w:color="auto"/>
        <w:right w:val="none" w:sz="0" w:space="0" w:color="auto"/>
      </w:divBdr>
    </w:div>
    <w:div w:id="384646856">
      <w:bodyDiv w:val="1"/>
      <w:marLeft w:val="0"/>
      <w:marRight w:val="0"/>
      <w:marTop w:val="0"/>
      <w:marBottom w:val="0"/>
      <w:divBdr>
        <w:top w:val="none" w:sz="0" w:space="0" w:color="auto"/>
        <w:left w:val="none" w:sz="0" w:space="0" w:color="auto"/>
        <w:bottom w:val="none" w:sz="0" w:space="0" w:color="auto"/>
        <w:right w:val="none" w:sz="0" w:space="0" w:color="auto"/>
      </w:divBdr>
    </w:div>
    <w:div w:id="413665899">
      <w:bodyDiv w:val="1"/>
      <w:marLeft w:val="0"/>
      <w:marRight w:val="0"/>
      <w:marTop w:val="0"/>
      <w:marBottom w:val="0"/>
      <w:divBdr>
        <w:top w:val="none" w:sz="0" w:space="0" w:color="auto"/>
        <w:left w:val="none" w:sz="0" w:space="0" w:color="auto"/>
        <w:bottom w:val="none" w:sz="0" w:space="0" w:color="auto"/>
        <w:right w:val="none" w:sz="0" w:space="0" w:color="auto"/>
      </w:divBdr>
    </w:div>
    <w:div w:id="468979667">
      <w:bodyDiv w:val="1"/>
      <w:marLeft w:val="0"/>
      <w:marRight w:val="0"/>
      <w:marTop w:val="0"/>
      <w:marBottom w:val="0"/>
      <w:divBdr>
        <w:top w:val="none" w:sz="0" w:space="0" w:color="auto"/>
        <w:left w:val="none" w:sz="0" w:space="0" w:color="auto"/>
        <w:bottom w:val="none" w:sz="0" w:space="0" w:color="auto"/>
        <w:right w:val="none" w:sz="0" w:space="0" w:color="auto"/>
      </w:divBdr>
    </w:div>
    <w:div w:id="955142594">
      <w:bodyDiv w:val="1"/>
      <w:marLeft w:val="0"/>
      <w:marRight w:val="0"/>
      <w:marTop w:val="0"/>
      <w:marBottom w:val="0"/>
      <w:divBdr>
        <w:top w:val="none" w:sz="0" w:space="0" w:color="auto"/>
        <w:left w:val="none" w:sz="0" w:space="0" w:color="auto"/>
        <w:bottom w:val="none" w:sz="0" w:space="0" w:color="auto"/>
        <w:right w:val="none" w:sz="0" w:space="0" w:color="auto"/>
      </w:divBdr>
    </w:div>
    <w:div w:id="1191338227">
      <w:bodyDiv w:val="1"/>
      <w:marLeft w:val="0"/>
      <w:marRight w:val="0"/>
      <w:marTop w:val="0"/>
      <w:marBottom w:val="0"/>
      <w:divBdr>
        <w:top w:val="none" w:sz="0" w:space="0" w:color="auto"/>
        <w:left w:val="none" w:sz="0" w:space="0" w:color="auto"/>
        <w:bottom w:val="none" w:sz="0" w:space="0" w:color="auto"/>
        <w:right w:val="none" w:sz="0" w:space="0" w:color="auto"/>
      </w:divBdr>
      <w:divsChild>
        <w:div w:id="1072460556">
          <w:marLeft w:val="0"/>
          <w:marRight w:val="0"/>
          <w:marTop w:val="0"/>
          <w:marBottom w:val="0"/>
          <w:divBdr>
            <w:top w:val="none" w:sz="0" w:space="0" w:color="auto"/>
            <w:left w:val="none" w:sz="0" w:space="0" w:color="auto"/>
            <w:bottom w:val="none" w:sz="0" w:space="0" w:color="auto"/>
            <w:right w:val="none" w:sz="0" w:space="0" w:color="auto"/>
          </w:divBdr>
        </w:div>
        <w:div w:id="1098211416">
          <w:marLeft w:val="0"/>
          <w:marRight w:val="0"/>
          <w:marTop w:val="0"/>
          <w:marBottom w:val="0"/>
          <w:divBdr>
            <w:top w:val="none" w:sz="0" w:space="0" w:color="auto"/>
            <w:left w:val="none" w:sz="0" w:space="0" w:color="auto"/>
            <w:bottom w:val="none" w:sz="0" w:space="0" w:color="auto"/>
            <w:right w:val="none" w:sz="0" w:space="0" w:color="auto"/>
          </w:divBdr>
        </w:div>
      </w:divsChild>
    </w:div>
    <w:div w:id="1217620380">
      <w:bodyDiv w:val="1"/>
      <w:marLeft w:val="0"/>
      <w:marRight w:val="0"/>
      <w:marTop w:val="0"/>
      <w:marBottom w:val="0"/>
      <w:divBdr>
        <w:top w:val="none" w:sz="0" w:space="0" w:color="auto"/>
        <w:left w:val="none" w:sz="0" w:space="0" w:color="auto"/>
        <w:bottom w:val="none" w:sz="0" w:space="0" w:color="auto"/>
        <w:right w:val="none" w:sz="0" w:space="0" w:color="auto"/>
      </w:divBdr>
    </w:div>
    <w:div w:id="1469931575">
      <w:bodyDiv w:val="1"/>
      <w:marLeft w:val="0"/>
      <w:marRight w:val="0"/>
      <w:marTop w:val="0"/>
      <w:marBottom w:val="0"/>
      <w:divBdr>
        <w:top w:val="none" w:sz="0" w:space="0" w:color="auto"/>
        <w:left w:val="none" w:sz="0" w:space="0" w:color="auto"/>
        <w:bottom w:val="none" w:sz="0" w:space="0" w:color="auto"/>
        <w:right w:val="none" w:sz="0" w:space="0" w:color="auto"/>
      </w:divBdr>
    </w:div>
    <w:div w:id="15159923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arthcubeprojects-chords.github.io/chords-docs/" TargetMode="External"/><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footer" Target="footer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grafana.com/grafana/dashboards" TargetMode="Externa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00E9F5-170C-4F6E-85C5-AC7153044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86</Pages>
  <Words>38639</Words>
  <Characters>220247</Characters>
  <Application>Microsoft Office Word</Application>
  <DocSecurity>0</DocSecurity>
  <Lines>1835</Lines>
  <Paragraphs>516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Willette</dc:creator>
  <cp:keywords/>
  <dc:description/>
  <cp:lastModifiedBy>Michael Willette</cp:lastModifiedBy>
  <cp:revision>2</cp:revision>
  <cp:lastPrinted>2023-12-02T19:47:00Z</cp:lastPrinted>
  <dcterms:created xsi:type="dcterms:W3CDTF">2023-12-06T21:43:00Z</dcterms:created>
  <dcterms:modified xsi:type="dcterms:W3CDTF">2023-12-06T21:43:00Z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id="2zGPmLrU"/&gt;&lt;style id="http://www.zotero.org/styles/american-meteorological-society" hasBibliography="1" bibliographyStyleHasBeenSet="1"/&gt;&lt;prefs&gt;&lt;pref name="fieldType" value="Field"/&gt;&lt;/prefs&gt;&lt;/dat</vt:lpwstr>
  </property>
  <property fmtid="{D5CDD505-2E9C-101B-9397-08002B2CF9AE}" pid="3" name="ZOTERO_PREF_2">
    <vt:lpwstr>a&gt;</vt:lpwstr>
  </property>
</Properties>
</file>